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E3" w:rsidRDefault="001F6939">
      <w:pPr>
        <w:ind w:left="2880"/>
        <w:rPr>
          <w:rFonts w:ascii="Garamond" w:eastAsia="Garamond" w:hAnsi="Garamond" w:cs="Garamond"/>
          <w:b/>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0703E3" w:rsidRDefault="000703E3">
      <w:pPr>
        <w:ind w:left="426"/>
        <w:rPr>
          <w:rFonts w:ascii="Garamond" w:eastAsia="Garamond" w:hAnsi="Garamond" w:cs="Garamond"/>
          <w:b/>
          <w:sz w:val="24"/>
          <w:szCs w:val="24"/>
        </w:rPr>
      </w:pPr>
    </w:p>
    <w:p w:rsidR="000703E3" w:rsidRDefault="000703E3">
      <w:pPr>
        <w:ind w:left="2880"/>
        <w:rPr>
          <w:rFonts w:ascii="Garamond" w:eastAsia="Garamond" w:hAnsi="Garamond" w:cs="Garamond"/>
          <w:b/>
          <w:sz w:val="24"/>
          <w:szCs w:val="24"/>
        </w:rPr>
      </w:pPr>
    </w:p>
    <w:p w:rsidR="000703E3" w:rsidRDefault="000703E3">
      <w:pPr>
        <w:ind w:left="2880"/>
        <w:rPr>
          <w:rFonts w:ascii="Garamond" w:eastAsia="Garamond" w:hAnsi="Garamond" w:cs="Garamond"/>
          <w:b/>
        </w:rPr>
      </w:pPr>
    </w:p>
    <w:p w:rsidR="000703E3" w:rsidRDefault="000703E3">
      <w:pPr>
        <w:spacing w:before="240" w:after="240"/>
        <w:jc w:val="center"/>
        <w:rPr>
          <w:rFonts w:ascii="Garamond" w:eastAsia="Garamond" w:hAnsi="Garamond" w:cs="Garamond"/>
          <w:b/>
          <w:u w:val="single"/>
        </w:rPr>
      </w:pPr>
    </w:p>
    <w:p w:rsidR="000703E3" w:rsidRDefault="000703E3">
      <w:pPr>
        <w:spacing w:before="240" w:after="240"/>
        <w:jc w:val="center"/>
        <w:rPr>
          <w:rFonts w:ascii="Garamond" w:eastAsia="Garamond" w:hAnsi="Garamond" w:cs="Garamond"/>
          <w:b/>
          <w:u w:val="single"/>
        </w:rPr>
      </w:pPr>
    </w:p>
    <w:p w:rsidR="000703E3" w:rsidRDefault="000703E3">
      <w:pPr>
        <w:spacing w:before="240" w:after="240"/>
        <w:jc w:val="center"/>
        <w:rPr>
          <w:rFonts w:ascii="Garamond" w:eastAsia="Garamond" w:hAnsi="Garamond" w:cs="Garamond"/>
          <w:b/>
          <w:u w:val="single"/>
        </w:rPr>
      </w:pPr>
    </w:p>
    <w:p w:rsidR="000703E3" w:rsidRDefault="001F6939">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0703E3" w:rsidRDefault="001F6939">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rsidR="000703E3" w:rsidRDefault="001F6939">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t>REACTÍVATE TURISMO</w:t>
      </w:r>
    </w:p>
    <w:p w:rsidR="000703E3" w:rsidRDefault="00BB13B2">
      <w:pPr>
        <w:tabs>
          <w:tab w:val="left" w:pos="1650"/>
          <w:tab w:val="center" w:pos="4419"/>
        </w:tabs>
        <w:spacing w:before="240" w:after="240"/>
        <w:jc w:val="center"/>
        <w:rPr>
          <w:rFonts w:ascii="gobCL" w:eastAsia="gobCL" w:hAnsi="gobCL" w:cs="gobCL"/>
          <w:b/>
          <w:sz w:val="36"/>
          <w:szCs w:val="36"/>
        </w:rPr>
      </w:pPr>
      <w:r>
        <w:rPr>
          <w:rFonts w:ascii="gobCL" w:eastAsia="gobCL" w:hAnsi="gobCL" w:cs="gobCL"/>
          <w:b/>
          <w:sz w:val="36"/>
          <w:szCs w:val="36"/>
        </w:rPr>
        <w:t>PROVINCIA DE</w:t>
      </w:r>
      <w:r w:rsidR="001F6939">
        <w:rPr>
          <w:rFonts w:ascii="gobCL" w:eastAsia="gobCL" w:hAnsi="gobCL" w:cs="gobCL"/>
          <w:b/>
          <w:sz w:val="36"/>
          <w:szCs w:val="36"/>
        </w:rPr>
        <w:t xml:space="preserve"> </w:t>
      </w:r>
    </w:p>
    <w:p w:rsidR="000703E3" w:rsidRDefault="001F6939">
      <w:pPr>
        <w:tabs>
          <w:tab w:val="left" w:pos="1650"/>
          <w:tab w:val="center" w:pos="4419"/>
        </w:tabs>
        <w:spacing w:before="240" w:after="240"/>
        <w:jc w:val="center"/>
        <w:rPr>
          <w:rFonts w:ascii="gobCL" w:eastAsia="gobCL" w:hAnsi="gobCL" w:cs="gobCL"/>
          <w:b/>
          <w:sz w:val="36"/>
          <w:szCs w:val="36"/>
        </w:rPr>
      </w:pPr>
      <w:r>
        <w:rPr>
          <w:rFonts w:ascii="gobCL" w:eastAsia="gobCL" w:hAnsi="gobCL" w:cs="gobCL"/>
          <w:b/>
          <w:sz w:val="36"/>
          <w:szCs w:val="36"/>
        </w:rPr>
        <w:t>VALPARAISO</w:t>
      </w:r>
      <w:r w:rsidR="00A413E4">
        <w:rPr>
          <w:rFonts w:ascii="gobCL" w:eastAsia="gobCL" w:hAnsi="gobCL" w:cs="gobCL"/>
          <w:b/>
          <w:sz w:val="36"/>
          <w:szCs w:val="36"/>
        </w:rPr>
        <w:t>; PROVINCIA</w:t>
      </w:r>
      <w:r w:rsidR="00BB13B2">
        <w:rPr>
          <w:rFonts w:ascii="gobCL" w:eastAsia="gobCL" w:hAnsi="gobCL" w:cs="gobCL"/>
          <w:b/>
          <w:sz w:val="36"/>
          <w:szCs w:val="36"/>
        </w:rPr>
        <w:t xml:space="preserve"> DE </w:t>
      </w:r>
      <w:r>
        <w:rPr>
          <w:rFonts w:ascii="gobCL" w:eastAsia="gobCL" w:hAnsi="gobCL" w:cs="gobCL"/>
          <w:b/>
          <w:sz w:val="36"/>
          <w:szCs w:val="36"/>
        </w:rPr>
        <w:t xml:space="preserve">SAN ANTONIO </w:t>
      </w:r>
      <w:r w:rsidR="00A413E4">
        <w:rPr>
          <w:rFonts w:ascii="gobCL" w:eastAsia="gobCL" w:hAnsi="gobCL" w:cs="gobCL"/>
          <w:b/>
          <w:sz w:val="36"/>
          <w:szCs w:val="36"/>
        </w:rPr>
        <w:t>y PROVINCIA DE ISLA DE PASCUA</w:t>
      </w:r>
    </w:p>
    <w:p w:rsidR="000703E3" w:rsidRDefault="000703E3">
      <w:pPr>
        <w:tabs>
          <w:tab w:val="left" w:pos="1650"/>
          <w:tab w:val="center" w:pos="4419"/>
        </w:tabs>
        <w:spacing w:before="240" w:after="240"/>
        <w:jc w:val="center"/>
        <w:rPr>
          <w:rFonts w:ascii="gobCL" w:eastAsia="gobCL" w:hAnsi="gobCL" w:cs="gobCL"/>
          <w:b/>
          <w:color w:val="000000"/>
          <w:sz w:val="36"/>
          <w:szCs w:val="36"/>
        </w:rPr>
      </w:pPr>
    </w:p>
    <w:p w:rsidR="000703E3" w:rsidRDefault="001F693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Valparaíso</w:t>
      </w:r>
    </w:p>
    <w:p w:rsidR="000703E3" w:rsidRDefault="001F6939">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Julio de 2020</w:t>
      </w:r>
    </w:p>
    <w:p w:rsidR="000703E3" w:rsidRDefault="000703E3">
      <w:pPr>
        <w:spacing w:before="240" w:after="240"/>
        <w:jc w:val="both"/>
        <w:rPr>
          <w:rFonts w:ascii="gobCL" w:eastAsia="gobCL" w:hAnsi="gobCL" w:cs="gobCL"/>
        </w:rPr>
      </w:pPr>
    </w:p>
    <w:p w:rsidR="000703E3" w:rsidRDefault="000703E3">
      <w:pPr>
        <w:spacing w:before="240" w:after="240"/>
        <w:jc w:val="both"/>
        <w:rPr>
          <w:rFonts w:ascii="gobCL" w:eastAsia="gobCL" w:hAnsi="gobCL" w:cs="gobCL"/>
        </w:rPr>
      </w:pPr>
    </w:p>
    <w:p w:rsidR="000703E3" w:rsidRDefault="000703E3">
      <w:pPr>
        <w:spacing w:before="240" w:after="240"/>
        <w:jc w:val="both"/>
        <w:rPr>
          <w:rFonts w:ascii="gobCL" w:eastAsia="gobCL" w:hAnsi="gobCL" w:cs="gobCL"/>
        </w:rPr>
      </w:pPr>
    </w:p>
    <w:p w:rsidR="000703E3" w:rsidRDefault="000703E3">
      <w:pPr>
        <w:spacing w:before="240" w:after="240"/>
        <w:jc w:val="both"/>
        <w:rPr>
          <w:rFonts w:ascii="gobCL" w:eastAsia="gobCL" w:hAnsi="gobCL" w:cs="gobCL"/>
        </w:rPr>
      </w:pPr>
    </w:p>
    <w:p w:rsidR="000703E3" w:rsidRDefault="001F6939">
      <w:pPr>
        <w:rPr>
          <w:rFonts w:ascii="gobCL" w:eastAsia="gobCL" w:hAnsi="gobCL" w:cs="gobCL"/>
          <w:b/>
        </w:rPr>
      </w:pPr>
      <w:bookmarkStart w:id="1" w:name="_GoBack"/>
      <w:bookmarkEnd w:id="1"/>
      <w:r>
        <w:rPr>
          <w:rFonts w:ascii="gobCL" w:eastAsia="gobCL" w:hAnsi="gobCL" w:cs="gobCL"/>
          <w:b/>
        </w:rPr>
        <w:lastRenderedPageBreak/>
        <w:t>1. Antecedentes del programa</w:t>
      </w:r>
    </w:p>
    <w:p w:rsidR="000703E3" w:rsidRDefault="001F6939">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lo que generará un impacto negativo en la economía, y en el desempeño habitual de las micro y pequeñas empresas del país.</w:t>
      </w:r>
    </w:p>
    <w:p w:rsidR="000703E3" w:rsidRDefault="001F6939">
      <w:pPr>
        <w:spacing w:before="240" w:after="240"/>
        <w:jc w:val="both"/>
        <w:rPr>
          <w:rFonts w:ascii="gobCL" w:eastAsia="gobCL" w:hAnsi="gobCL" w:cs="gobCL"/>
          <w:color w:val="000000"/>
        </w:rPr>
      </w:pPr>
      <w:r>
        <w:rPr>
          <w:rFonts w:ascii="gobCL" w:eastAsia="gobCL" w:hAnsi="gobCL" w:cs="gobCL"/>
          <w:color w:val="000000"/>
        </w:rPr>
        <w:t xml:space="preserve">Por su parte, el sector turismo es una de las actividades económicas del país que ha tomado relevancia en los últimos años por su aporte a las economías locales, pero también es considerada una de las más vulnerable ante escenarios complejos como, por ejemplo, el que planteó la coyuntura nacional del último trimestre del 2019. </w:t>
      </w:r>
    </w:p>
    <w:p w:rsidR="000703E3" w:rsidRDefault="001F6939">
      <w:pPr>
        <w:spacing w:before="240" w:after="240"/>
        <w:jc w:val="both"/>
        <w:rPr>
          <w:rFonts w:ascii="gobCL" w:eastAsia="gobCL" w:hAnsi="gobCL" w:cs="gobCL"/>
          <w:color w:val="000000"/>
        </w:rPr>
      </w:pPr>
      <w:r>
        <w:rPr>
          <w:rFonts w:ascii="gobCL" w:eastAsia="gobCL" w:hAnsi="gobCL" w:cs="gobCL"/>
          <w:color w:val="000000"/>
        </w:rPr>
        <w:t>Es una industria que genera cerca de 400.000 empleos directos y está compuesta mayoritariamente por pymes. Más de un 95% de quienes emprenden en este sector son micro, pequeñas y medianas empresas.</w:t>
      </w:r>
    </w:p>
    <w:p w:rsidR="000703E3" w:rsidRDefault="001F6939">
      <w:pPr>
        <w:spacing w:before="240" w:after="240"/>
        <w:jc w:val="both"/>
        <w:rPr>
          <w:rFonts w:ascii="gobCL" w:eastAsia="gobCL" w:hAnsi="gobCL" w:cs="gobCL"/>
          <w:color w:val="000000"/>
        </w:rPr>
      </w:pPr>
      <w:r>
        <w:rPr>
          <w:rFonts w:ascii="gobCL" w:eastAsia="gobCL" w:hAnsi="gobCL" w:cs="gobCL"/>
          <w:color w:val="000000"/>
        </w:rPr>
        <w:t>Por lo mismo, hoy más que nunca la actividad turística y, en especial, los pequeños empresarios que emprenden en ella, requieren de nuestro apoyo para reactivar sus negocios y darle un reimpulso a su capacidad de gestión y desarrollo innovador.</w:t>
      </w:r>
    </w:p>
    <w:p w:rsidR="000703E3" w:rsidRDefault="001F6939">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0703E3" w:rsidRDefault="001F6939">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Especial “Reactívate Turismo”, el cual busca entregar las herramientas necesarias a aquellas micro y pequeñas empresas, con ventas netas mayores o iguales a 200 UF e inferiores o iguales 15.000 UF al año, que se han visto afectadas en sus ingresos a causa de los últimos acontecimientos vividos en Chile, según lo establecido en las presentes bases.</w:t>
      </w:r>
    </w:p>
    <w:p w:rsidR="000703E3" w:rsidRDefault="001F6939">
      <w:pPr>
        <w:rPr>
          <w:rFonts w:ascii="gobCL" w:eastAsia="gobCL" w:hAnsi="gobCL" w:cs="gobCL"/>
          <w:b/>
        </w:rPr>
      </w:pPr>
      <w:r>
        <w:br w:type="page"/>
      </w:r>
    </w:p>
    <w:p w:rsidR="000703E3" w:rsidRDefault="001F6939">
      <w:pPr>
        <w:spacing w:before="240" w:after="240"/>
        <w:jc w:val="both"/>
        <w:rPr>
          <w:rFonts w:ascii="gobCL" w:eastAsia="gobCL" w:hAnsi="gobCL" w:cs="gobCL"/>
          <w:b/>
        </w:rPr>
      </w:pPr>
      <w:r>
        <w:rPr>
          <w:rFonts w:ascii="gobCL" w:eastAsia="gobCL" w:hAnsi="gobCL" w:cs="gobCL"/>
          <w:b/>
        </w:rPr>
        <w:lastRenderedPageBreak/>
        <w:t>2. ¿Qué es?</w:t>
      </w:r>
    </w:p>
    <w:p w:rsidR="000703E3" w:rsidRDefault="001F6939">
      <w:pPr>
        <w:spacing w:before="240" w:after="240"/>
        <w:jc w:val="both"/>
        <w:rPr>
          <w:rFonts w:ascii="gobCL" w:eastAsia="gobCL" w:hAnsi="gobCL" w:cs="gobCL"/>
        </w:rPr>
      </w:pPr>
      <w:r>
        <w:rPr>
          <w:rFonts w:ascii="gobCL" w:eastAsia="gobCL" w:hAnsi="gobCL" w:cs="gobCL"/>
        </w:rPr>
        <w:t xml:space="preserve">Es un programa que busca apoyar a las micro y pequeñas empresas del sector turismo, que tengan inicio de actividades en primera categoría hasta el 28 de febrero de 2019 ante el Servicio de Impuestos Internos; con ventas netas mayores o iguales a 200 UF e inferiores o iguales a 15.000 UF al año, que hayan visto afectadas sus ventas en al menos un 30%, producto de la emergencia sanitaria. </w:t>
      </w:r>
    </w:p>
    <w:p w:rsidR="000703E3" w:rsidRDefault="001F6939">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capital de trabajo (materias primas y materiales, mercadería), financiar arriendos, sueldos, pago de servicios básicos y cuotas de crédito, habilitación de infraestructura y gastos en promoción y publicidad. Además, se podrá financiar la adquisición de materiales necesarios para implementar protocolos sanitarios ante el Covid-19.</w:t>
      </w:r>
    </w:p>
    <w:p w:rsidR="000703E3" w:rsidRDefault="001F6939">
      <w:pPr>
        <w:spacing w:before="240" w:after="240"/>
        <w:jc w:val="both"/>
        <w:rPr>
          <w:rFonts w:ascii="gobCL" w:eastAsia="gobCL" w:hAnsi="gobCL" w:cs="gobCL"/>
          <w:b/>
        </w:rPr>
      </w:pPr>
      <w:r>
        <w:rPr>
          <w:rFonts w:ascii="gobCL" w:eastAsia="gobCL" w:hAnsi="gobCL" w:cs="gobCL"/>
          <w:b/>
        </w:rPr>
        <w:t>2.1. Requisitos generales del programa</w:t>
      </w:r>
    </w:p>
    <w:p w:rsidR="000703E3" w:rsidRDefault="001F6939">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0703E3" w:rsidRDefault="001F6939">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0703E3" w:rsidRDefault="001F6939">
      <w:pPr>
        <w:spacing w:before="240" w:after="240" w:line="276" w:lineRule="auto"/>
        <w:jc w:val="both"/>
        <w:rPr>
          <w:rFonts w:ascii="gobCL" w:eastAsia="gobCL" w:hAnsi="gobCL" w:cs="gobCL"/>
          <w:b/>
          <w:u w:val="single"/>
        </w:rPr>
      </w:pPr>
      <w:r>
        <w:rPr>
          <w:rFonts w:ascii="gobCL" w:eastAsia="gobCL" w:hAnsi="gobCL" w:cs="gobCL"/>
          <w:b/>
          <w:u w:val="single"/>
        </w:rPr>
        <w:t>a.- Admisibilidad automática:</w:t>
      </w:r>
    </w:p>
    <w:p w:rsidR="000703E3" w:rsidRDefault="001F6939">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rPr>
        <w:t xml:space="preserve">a.1. </w:t>
      </w:r>
      <w:r>
        <w:rPr>
          <w:rFonts w:ascii="gobCL" w:eastAsia="gobCL" w:hAnsi="gobCL" w:cs="gobCL"/>
          <w:color w:val="000000"/>
        </w:rPr>
        <w:t>Ser persona natural y/o jurídica con iniciación de actividades en primera categoría</w:t>
      </w:r>
      <w:r>
        <w:rPr>
          <w:rFonts w:ascii="gobCL" w:eastAsia="gobCL" w:hAnsi="gobCL" w:cs="gobCL"/>
          <w:color w:val="000000"/>
          <w:vertAlign w:val="superscript"/>
        </w:rPr>
        <w:footnoteReference w:id="1"/>
      </w:r>
      <w:r>
        <w:rPr>
          <w:rFonts w:ascii="gobCL" w:eastAsia="gobCL" w:hAnsi="gobCL" w:cs="gobCL"/>
          <w:color w:val="000000"/>
        </w:rPr>
        <w:t xml:space="preserve"> ante el Servicio de Impuestos Internos (SII) </w:t>
      </w:r>
      <w:r>
        <w:rPr>
          <w:rFonts w:ascii="gobCL" w:eastAsia="gobCL" w:hAnsi="gobCL" w:cs="gobCL"/>
          <w:b/>
          <w:color w:val="000000"/>
        </w:rPr>
        <w:t>hasta el 28 de febrero 2019 y estar vigente a la fecha de inicio de la convocatoria.</w:t>
      </w:r>
      <w:r>
        <w:rPr>
          <w:rFonts w:ascii="gobCL" w:eastAsia="gobCL" w:hAnsi="gobCL" w:cs="gobCL"/>
          <w:color w:val="000000"/>
        </w:rPr>
        <w:t xml:space="preserve"> Para efectos del inicio de actividades en primera categoría, se considerará la fecha del giro más antiguo registrado en el Servicio de Impuestos Internos (dicho giro deberá estar vigente a la fecha de inicio de la convocatoria).</w:t>
      </w:r>
    </w:p>
    <w:p w:rsidR="000703E3" w:rsidRDefault="000703E3">
      <w:pPr>
        <w:pBdr>
          <w:top w:val="nil"/>
          <w:left w:val="nil"/>
          <w:bottom w:val="nil"/>
          <w:right w:val="nil"/>
          <w:between w:val="nil"/>
        </w:pBdr>
        <w:spacing w:after="0" w:line="276" w:lineRule="auto"/>
        <w:jc w:val="both"/>
        <w:rPr>
          <w:rFonts w:ascii="gobCL" w:eastAsia="gobCL" w:hAnsi="gobCL" w:cs="gobCL"/>
          <w:color w:val="000000"/>
        </w:rPr>
      </w:pPr>
    </w:p>
    <w:p w:rsidR="000703E3" w:rsidRDefault="001F6939">
      <w:p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a.2. </w:t>
      </w:r>
      <w:r>
        <w:rPr>
          <w:rFonts w:ascii="gobCL" w:eastAsia="gobCL" w:hAnsi="gobCL" w:cs="gobCL"/>
          <w:color w:val="000000"/>
        </w:rPr>
        <w:t>No haber incumplido las obligaciones contractuales de un proyecto de Sercotec con el Agente Operador Sercotec, en adelante AOS (término anticipado de contrato por hecho o acto imputable al beneficiario/a), a la fecha de inicio de la convocatoria.</w:t>
      </w:r>
    </w:p>
    <w:p w:rsidR="000703E3" w:rsidRDefault="000703E3">
      <w:pPr>
        <w:pBdr>
          <w:top w:val="nil"/>
          <w:left w:val="nil"/>
          <w:bottom w:val="nil"/>
          <w:right w:val="nil"/>
          <w:between w:val="nil"/>
        </w:pBdr>
        <w:spacing w:after="0"/>
        <w:jc w:val="both"/>
        <w:rPr>
          <w:rFonts w:ascii="gobCL" w:eastAsia="gobCL" w:hAnsi="gobCL" w:cs="gobCL"/>
          <w:color w:val="000000"/>
        </w:rPr>
      </w:pPr>
    </w:p>
    <w:p w:rsidR="000703E3" w:rsidRDefault="001F6939">
      <w:pPr>
        <w:pBdr>
          <w:top w:val="nil"/>
          <w:left w:val="nil"/>
          <w:bottom w:val="nil"/>
          <w:right w:val="nil"/>
          <w:between w:val="nil"/>
        </w:pBdr>
        <w:spacing w:after="0"/>
        <w:jc w:val="both"/>
        <w:rPr>
          <w:rFonts w:ascii="gobCL" w:eastAsia="gobCL" w:hAnsi="gobCL" w:cs="gobCL"/>
          <w:color w:val="000000"/>
        </w:rPr>
      </w:pPr>
      <w:r>
        <w:rPr>
          <w:rFonts w:ascii="gobCL" w:eastAsia="gobCL" w:hAnsi="gobCL" w:cs="gobCL"/>
        </w:rPr>
        <w:lastRenderedPageBreak/>
        <w:t xml:space="preserve">a.3. </w:t>
      </w:r>
      <w:r>
        <w:rPr>
          <w:rFonts w:ascii="gobCL" w:eastAsia="gobCL" w:hAnsi="gobCL" w:cs="gobCL"/>
          <w:color w:val="000000"/>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p w:rsidR="000703E3" w:rsidRDefault="001F6939">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a.4 No tener rendiciones pendientes con Sercotec, a la fecha de inicio de la convocatoria.</w:t>
      </w:r>
    </w:p>
    <w:p w:rsidR="000703E3" w:rsidRDefault="000703E3">
      <w:pPr>
        <w:pBdr>
          <w:top w:val="nil"/>
          <w:left w:val="nil"/>
          <w:bottom w:val="nil"/>
          <w:right w:val="nil"/>
          <w:between w:val="nil"/>
        </w:pBdr>
        <w:spacing w:after="0"/>
        <w:jc w:val="both"/>
        <w:rPr>
          <w:rFonts w:ascii="gobCL" w:eastAsia="gobCL" w:hAnsi="gobCL" w:cs="gobCL"/>
          <w:color w:val="000000"/>
        </w:rPr>
      </w:pPr>
    </w:p>
    <w:p w:rsidR="000703E3" w:rsidRDefault="001F6939" w:rsidP="001F6939">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a.5 </w:t>
      </w:r>
      <w:r w:rsidR="00BB13B2">
        <w:rPr>
          <w:rFonts w:ascii="gobCL" w:eastAsia="gobCL" w:hAnsi="gobCL" w:cs="gobCL"/>
          <w:color w:val="000000"/>
        </w:rPr>
        <w:t>Tener domicilio comercial en la</w:t>
      </w:r>
      <w:r>
        <w:rPr>
          <w:rFonts w:ascii="gobCL" w:eastAsia="gobCL" w:hAnsi="gobCL" w:cs="gobCL"/>
          <w:color w:val="000000"/>
        </w:rPr>
        <w:t xml:space="preserve"> </w:t>
      </w:r>
      <w:r w:rsidR="00BB13B2">
        <w:rPr>
          <w:rFonts w:ascii="gobCL" w:eastAsia="gobCL" w:hAnsi="gobCL" w:cs="gobCL"/>
          <w:color w:val="000000"/>
        </w:rPr>
        <w:t>provincia</w:t>
      </w:r>
      <w:r w:rsidRPr="001F6939">
        <w:rPr>
          <w:rFonts w:ascii="gobCL" w:eastAsia="gobCL" w:hAnsi="gobCL" w:cs="gobCL"/>
          <w:color w:val="000000"/>
        </w:rPr>
        <w:t xml:space="preserve"> </w:t>
      </w:r>
      <w:r w:rsidR="00A413E4">
        <w:rPr>
          <w:rFonts w:ascii="gobCL" w:eastAsia="gobCL" w:hAnsi="gobCL" w:cs="gobCL"/>
          <w:color w:val="000000"/>
        </w:rPr>
        <w:t xml:space="preserve">de Valparaíso; </w:t>
      </w:r>
      <w:r w:rsidR="00BB13B2">
        <w:rPr>
          <w:rFonts w:ascii="gobCL" w:eastAsia="gobCL" w:hAnsi="gobCL" w:cs="gobCL"/>
          <w:color w:val="000000"/>
        </w:rPr>
        <w:t xml:space="preserve">provincia de </w:t>
      </w:r>
      <w:r>
        <w:rPr>
          <w:rFonts w:ascii="gobCL" w:eastAsia="gobCL" w:hAnsi="gobCL" w:cs="gobCL"/>
          <w:color w:val="000000"/>
        </w:rPr>
        <w:t>S</w:t>
      </w:r>
      <w:r w:rsidRPr="001F6939">
        <w:rPr>
          <w:rFonts w:ascii="gobCL" w:eastAsia="gobCL" w:hAnsi="gobCL" w:cs="gobCL"/>
          <w:color w:val="000000"/>
        </w:rPr>
        <w:t>an Antonio</w:t>
      </w:r>
      <w:r w:rsidR="00A413E4">
        <w:rPr>
          <w:rFonts w:ascii="gobCL" w:eastAsia="gobCL" w:hAnsi="gobCL" w:cs="gobCL"/>
          <w:color w:val="000000"/>
        </w:rPr>
        <w:t xml:space="preserve"> y provincia de Isla de Pascua</w:t>
      </w:r>
      <w:r w:rsidRPr="001F6939">
        <w:rPr>
          <w:rFonts w:ascii="gobCL" w:eastAsia="gobCL" w:hAnsi="gobCL" w:cs="gobCL"/>
          <w:color w:val="000000"/>
        </w:rPr>
        <w:t xml:space="preserve"> </w:t>
      </w:r>
      <w:r>
        <w:rPr>
          <w:rFonts w:ascii="gobCL" w:eastAsia="gobCL" w:hAnsi="gobCL" w:cs="gobCL"/>
          <w:color w:val="000000"/>
        </w:rPr>
        <w:t xml:space="preserve">para la presente convocatoria. </w:t>
      </w:r>
    </w:p>
    <w:p w:rsidR="000703E3" w:rsidRDefault="000703E3">
      <w:pPr>
        <w:pBdr>
          <w:top w:val="nil"/>
          <w:left w:val="nil"/>
          <w:bottom w:val="nil"/>
          <w:right w:val="nil"/>
          <w:between w:val="nil"/>
        </w:pBdr>
        <w:spacing w:after="0"/>
        <w:jc w:val="both"/>
        <w:rPr>
          <w:rFonts w:ascii="gobCL" w:eastAsia="gobCL" w:hAnsi="gobCL" w:cs="gobCL"/>
          <w:color w:val="000000"/>
        </w:rPr>
      </w:pPr>
    </w:p>
    <w:p w:rsidR="000703E3" w:rsidRDefault="001F6939">
      <w:pPr>
        <w:pBdr>
          <w:top w:val="nil"/>
          <w:left w:val="nil"/>
          <w:bottom w:val="nil"/>
          <w:right w:val="nil"/>
          <w:between w:val="nil"/>
        </w:pBdr>
        <w:spacing w:after="0"/>
        <w:jc w:val="both"/>
        <w:rPr>
          <w:rFonts w:ascii="gobCL" w:eastAsia="gobCL" w:hAnsi="gobCL" w:cs="gobCL"/>
          <w:b/>
          <w:u w:val="single"/>
        </w:rPr>
      </w:pPr>
      <w:r>
        <w:rPr>
          <w:rFonts w:ascii="gobCL" w:eastAsia="gobCL" w:hAnsi="gobCL" w:cs="gobCL"/>
          <w:color w:val="000000"/>
        </w:rPr>
        <w:t>a.6 No haber sido beneficiario de las convocatorias Reactívate de Sercotec (cualquier fuente de financiamiento) y de la convocatoria Renace Aysén. Sercotec validará nuevamente esta condición al momento de formalizar"</w:t>
      </w:r>
      <w:r>
        <w:rPr>
          <w:rFonts w:ascii="gobCL" w:eastAsia="gobCL" w:hAnsi="gobCL" w:cs="gobCL"/>
          <w:b/>
          <w:i/>
          <w:color w:val="000000"/>
        </w:rPr>
        <w:t>. </w:t>
      </w:r>
    </w:p>
    <w:p w:rsidR="000703E3" w:rsidRDefault="000703E3">
      <w:pPr>
        <w:pBdr>
          <w:top w:val="nil"/>
          <w:left w:val="nil"/>
          <w:bottom w:val="nil"/>
          <w:right w:val="nil"/>
          <w:between w:val="nil"/>
        </w:pBdr>
        <w:spacing w:after="0" w:line="276" w:lineRule="auto"/>
        <w:jc w:val="both"/>
        <w:rPr>
          <w:rFonts w:ascii="gobCL" w:eastAsia="gobCL" w:hAnsi="gobCL" w:cs="gobCL"/>
          <w:b/>
          <w:u w:val="single"/>
        </w:rPr>
      </w:pPr>
    </w:p>
    <w:p w:rsidR="000703E3" w:rsidRDefault="001F6939">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b/>
          <w:u w:val="single"/>
        </w:rPr>
        <w:t>b.-  Admisibilidad Manual:</w:t>
      </w:r>
    </w:p>
    <w:p w:rsidR="000703E3" w:rsidRDefault="001F6939">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b.1.- Tener ventas netas anuales mayores o iguales a 200 UF e inferiores o iguales a 15.000 UF.</w:t>
      </w:r>
    </w:p>
    <w:p w:rsidR="000703E3" w:rsidRDefault="001F6939">
      <w:p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rsidR="000703E3" w:rsidRDefault="000703E3">
      <w:pPr>
        <w:pBdr>
          <w:top w:val="nil"/>
          <w:left w:val="nil"/>
          <w:bottom w:val="nil"/>
          <w:right w:val="nil"/>
          <w:between w:val="nil"/>
        </w:pBdr>
        <w:spacing w:before="240" w:after="0" w:line="120" w:lineRule="auto"/>
        <w:jc w:val="both"/>
        <w:rPr>
          <w:rFonts w:ascii="gobCL" w:eastAsia="gobCL" w:hAnsi="gobCL" w:cs="gobCL"/>
          <w:color w:val="000000"/>
        </w:rPr>
      </w:pPr>
    </w:p>
    <w:tbl>
      <w:tblPr>
        <w:tblStyle w:val="afa"/>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0703E3">
        <w:trPr>
          <w:trHeight w:val="765"/>
          <w:jc w:val="center"/>
        </w:trPr>
        <w:tc>
          <w:tcPr>
            <w:tcW w:w="6325" w:type="dxa"/>
            <w:shd w:val="clear" w:color="auto" w:fill="D9D9D9"/>
          </w:tcPr>
          <w:p w:rsidR="000703E3" w:rsidRDefault="001F6939">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200 UF e inferiores o iguales a 15.000 UF. </w:t>
            </w:r>
          </w:p>
        </w:tc>
      </w:tr>
      <w:tr w:rsidR="000703E3">
        <w:trPr>
          <w:jc w:val="center"/>
        </w:trPr>
        <w:tc>
          <w:tcPr>
            <w:tcW w:w="6325" w:type="dxa"/>
          </w:tcPr>
          <w:p w:rsidR="000703E3" w:rsidRDefault="001F6939">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 xml:space="preserve"> Marzo 2019 – Febrero 2020</w:t>
            </w:r>
          </w:p>
        </w:tc>
      </w:tr>
    </w:tbl>
    <w:p w:rsidR="000703E3" w:rsidRDefault="001F6939">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15.000 UF, lo cual se calcula con el monto total de ventas netas durante el período de cálculo de ventas netas de la cooperativa, dividido por el número de asociados. </w:t>
      </w:r>
    </w:p>
    <w:p w:rsidR="000703E3" w:rsidRDefault="001F6939">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b/>
        </w:rPr>
        <w:t xml:space="preserve">b.2.- Disminución de las ventas de a lo menos un 30%. </w:t>
      </w:r>
    </w:p>
    <w:p w:rsidR="000703E3" w:rsidRDefault="000703E3">
      <w:pPr>
        <w:pBdr>
          <w:top w:val="nil"/>
          <w:left w:val="nil"/>
          <w:bottom w:val="nil"/>
          <w:right w:val="nil"/>
          <w:between w:val="nil"/>
        </w:pBdr>
        <w:spacing w:after="0" w:line="240" w:lineRule="auto"/>
        <w:jc w:val="both"/>
        <w:rPr>
          <w:rFonts w:ascii="gobCL" w:eastAsia="gobCL" w:hAnsi="gobCL" w:cs="gobCL"/>
          <w:b/>
        </w:rPr>
      </w:pPr>
    </w:p>
    <w:p w:rsidR="000703E3" w:rsidRDefault="001F6939">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Contar con al menos, una disminución de ventas de un 30%, comparando el total de ventas del período 1 (marzo – abril – mayo 2019) con el total de ventas del período 2 (marzo – abril -mayo 2020).</w:t>
      </w:r>
    </w:p>
    <w:p w:rsidR="000703E3" w:rsidRDefault="000703E3">
      <w:pPr>
        <w:pBdr>
          <w:top w:val="nil"/>
          <w:left w:val="nil"/>
          <w:bottom w:val="nil"/>
          <w:right w:val="nil"/>
          <w:between w:val="nil"/>
        </w:pBdr>
        <w:spacing w:after="0" w:line="240" w:lineRule="auto"/>
        <w:jc w:val="both"/>
        <w:rPr>
          <w:rFonts w:ascii="gobCL" w:eastAsia="gobCL" w:hAnsi="gobCL" w:cs="gobCL"/>
          <w:b/>
        </w:rPr>
      </w:pPr>
    </w:p>
    <w:tbl>
      <w:tblPr>
        <w:tblStyle w:val="afb"/>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tc>
          <w:tcPr>
            <w:tcW w:w="8789" w:type="dxa"/>
            <w:shd w:val="clear" w:color="auto" w:fill="D9D9D9"/>
          </w:tcPr>
          <w:p w:rsidR="000703E3" w:rsidRDefault="001F6939">
            <w:pPr>
              <w:jc w:val="both"/>
              <w:rPr>
                <w:rFonts w:ascii="gobCL" w:eastAsia="gobCL" w:hAnsi="gobCL" w:cs="gobCL"/>
                <w:b/>
                <w:sz w:val="22"/>
                <w:szCs w:val="22"/>
                <w:u w:val="single"/>
              </w:rPr>
            </w:pPr>
            <w:r>
              <w:rPr>
                <w:rFonts w:ascii="gobCL" w:eastAsia="gobCL" w:hAnsi="gobCL" w:cs="gobCL"/>
                <w:b/>
                <w:sz w:val="22"/>
                <w:szCs w:val="22"/>
                <w:u w:val="single"/>
              </w:rPr>
              <w:t>IMPORTANTE</w:t>
            </w:r>
          </w:p>
          <w:p w:rsidR="000703E3" w:rsidRDefault="001F6939">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28 de febrero de 2019, o que tengan ventas inferiores a 200 UF o mayores a 15.000 </w:t>
            </w:r>
            <w:r>
              <w:rPr>
                <w:rFonts w:ascii="gobCL" w:eastAsia="gobCL" w:hAnsi="gobCL" w:cs="gobCL"/>
                <w:sz w:val="22"/>
                <w:szCs w:val="22"/>
              </w:rPr>
              <w:lastRenderedPageBreak/>
              <w:t xml:space="preserve">UF en el período marzo 2019 – febrero 2020, o aquellas que presenten menos de un 30% de disminución de ventas en el período evaluado, serán declaradas inadmisibles. Asimismo, serán declaradas inadmisibles, aquellas empresas postulantes que no adjunten la carpeta tributaria para solicitar créditos y quienes no tengan registrados todos los formularios 29 de los períodos a considerar, </w:t>
            </w:r>
            <w:r>
              <w:rPr>
                <w:rFonts w:ascii="gobCL" w:eastAsia="gobCL" w:hAnsi="gobCL" w:cs="gobCL"/>
                <w:b/>
                <w:sz w:val="22"/>
                <w:szCs w:val="22"/>
              </w:rPr>
              <w:t>tanto para el cálculo del nivel de ventas, como para el cálculo de disminución de las mismas.</w:t>
            </w:r>
          </w:p>
        </w:tc>
      </w:tr>
    </w:tbl>
    <w:p w:rsidR="000703E3" w:rsidRDefault="000703E3">
      <w:pPr>
        <w:pBdr>
          <w:top w:val="nil"/>
          <w:left w:val="nil"/>
          <w:bottom w:val="nil"/>
          <w:right w:val="nil"/>
          <w:between w:val="nil"/>
        </w:pBdr>
        <w:spacing w:after="0" w:line="276" w:lineRule="auto"/>
        <w:jc w:val="both"/>
        <w:rPr>
          <w:rFonts w:ascii="gobCL" w:eastAsia="gobCL" w:hAnsi="gobCL" w:cs="gobCL"/>
          <w:b/>
          <w:color w:val="000000"/>
        </w:rPr>
      </w:pPr>
    </w:p>
    <w:p w:rsidR="000703E3" w:rsidRDefault="001F6939">
      <w:pPr>
        <w:pBdr>
          <w:top w:val="nil"/>
          <w:left w:val="nil"/>
          <w:bottom w:val="nil"/>
          <w:right w:val="nil"/>
          <w:between w:val="nil"/>
        </w:pBdr>
        <w:spacing w:after="0" w:line="276" w:lineRule="auto"/>
        <w:jc w:val="both"/>
        <w:rPr>
          <w:rFonts w:ascii="gobCL" w:eastAsia="gobCL" w:hAnsi="gobCL" w:cs="gobCL"/>
          <w:b/>
          <w:color w:val="000000"/>
        </w:rPr>
      </w:pPr>
      <w:r>
        <w:rPr>
          <w:rFonts w:ascii="gobCL" w:eastAsia="gobCL" w:hAnsi="gobCL" w:cs="gobCL"/>
          <w:b/>
          <w:color w:val="000000"/>
        </w:rPr>
        <w:t>b.3 Tener inicio de actividades en primera categoría vinculadas al sector Turismo.</w:t>
      </w:r>
    </w:p>
    <w:p w:rsidR="000703E3" w:rsidRDefault="001F6939">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La vinculación al sector Turismo será validada en consideración de:</w:t>
      </w:r>
    </w:p>
    <w:p w:rsidR="000703E3" w:rsidRDefault="000703E3">
      <w:pPr>
        <w:pBdr>
          <w:top w:val="nil"/>
          <w:left w:val="nil"/>
          <w:bottom w:val="nil"/>
          <w:right w:val="nil"/>
          <w:between w:val="nil"/>
        </w:pBdr>
        <w:spacing w:after="0" w:line="276" w:lineRule="auto"/>
        <w:jc w:val="both"/>
        <w:rPr>
          <w:rFonts w:ascii="gobCL" w:eastAsia="gobCL" w:hAnsi="gobCL" w:cs="gobCL"/>
          <w:b/>
          <w:color w:val="000000"/>
        </w:rPr>
      </w:pPr>
    </w:p>
    <w:p w:rsidR="000703E3" w:rsidRDefault="001F6939">
      <w:pPr>
        <w:numPr>
          <w:ilvl w:val="0"/>
          <w:numId w:val="13"/>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Ser parte del Registro Nacional de Prestadores de Servicios Turísticos de SERNATUR (información provista por dicho servicio al 2 de julio de 2020).</w:t>
      </w:r>
    </w:p>
    <w:p w:rsidR="000703E3" w:rsidRDefault="001F6939">
      <w:pPr>
        <w:numPr>
          <w:ilvl w:val="0"/>
          <w:numId w:val="13"/>
        </w:num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Tener inicio de actividades en primera categoría, en alguno de los códigos que se detallan en el Anexo N° 5.</w:t>
      </w:r>
      <w:r>
        <w:rPr>
          <w:rFonts w:ascii="gobCL" w:eastAsia="gobCL" w:hAnsi="gobCL" w:cs="gobCL"/>
          <w:color w:val="000000"/>
          <w:vertAlign w:val="superscript"/>
        </w:rPr>
        <w:footnoteReference w:id="2"/>
      </w:r>
    </w:p>
    <w:p w:rsidR="000703E3" w:rsidRDefault="000703E3">
      <w:pPr>
        <w:jc w:val="both"/>
        <w:rPr>
          <w:rFonts w:ascii="gobCL" w:eastAsia="gobCL" w:hAnsi="gobCL" w:cs="gobCL"/>
        </w:rPr>
      </w:pPr>
    </w:p>
    <w:p w:rsidR="000703E3" w:rsidRDefault="001F6939">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rsidR="000703E3" w:rsidRDefault="001F6939">
      <w:pPr>
        <w:spacing w:before="240" w:after="240"/>
        <w:jc w:val="both"/>
        <w:rPr>
          <w:rFonts w:ascii="gobCL" w:eastAsia="gobCL" w:hAnsi="gobCL" w:cs="gobCL"/>
        </w:rPr>
      </w:pPr>
      <w:r>
        <w:rPr>
          <w:rFonts w:ascii="gobCL" w:eastAsia="gobCL" w:hAnsi="gobCL" w:cs="gobCL"/>
        </w:rPr>
        <w:t>Las empresas deben cumplir con los siguientes requisitos:</w:t>
      </w:r>
    </w:p>
    <w:p w:rsidR="000703E3" w:rsidRDefault="001F6939">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w:t>
      </w:r>
    </w:p>
    <w:p w:rsidR="000703E3" w:rsidRDefault="001F6939">
      <w:pPr>
        <w:numPr>
          <w:ilvl w:val="0"/>
          <w:numId w:val="3"/>
        </w:numPr>
        <w:spacing w:before="240" w:after="240" w:line="240" w:lineRule="auto"/>
        <w:jc w:val="both"/>
        <w:rPr>
          <w:rFonts w:ascii="gobCL" w:eastAsia="gobCL" w:hAnsi="gobCL" w:cs="gobCL"/>
        </w:rPr>
      </w:pPr>
      <w:r>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p w:rsidR="000703E3" w:rsidRDefault="001F6939">
      <w:pPr>
        <w:numPr>
          <w:ilvl w:val="0"/>
          <w:numId w:val="3"/>
        </w:numPr>
        <w:spacing w:before="240" w:after="240" w:line="240" w:lineRule="auto"/>
        <w:jc w:val="both"/>
        <w:rPr>
          <w:rFonts w:ascii="gobCL" w:eastAsia="gobCL" w:hAnsi="gobCL" w:cs="gobCL"/>
        </w:rPr>
      </w:pPr>
      <w:bookmarkStart w:id="3" w:name="_heading=h.1fob9te" w:colFirst="0" w:colLast="0"/>
      <w:bookmarkEnd w:id="3"/>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Formulario F30, con una fecha posterior a la emisión de ese certificado. </w:t>
      </w:r>
    </w:p>
    <w:p w:rsidR="000703E3" w:rsidRDefault="001F6939">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Suscripción de Declaración jurada de probidad según el 2.2. de las bases, Anexo N°4 </w:t>
      </w:r>
    </w:p>
    <w:p w:rsidR="000703E3" w:rsidRDefault="000703E3">
      <w:pPr>
        <w:pBdr>
          <w:top w:val="nil"/>
          <w:left w:val="nil"/>
          <w:bottom w:val="nil"/>
          <w:right w:val="nil"/>
          <w:between w:val="nil"/>
        </w:pBdr>
        <w:spacing w:after="0"/>
        <w:ind w:left="720" w:hanging="720"/>
        <w:jc w:val="both"/>
        <w:rPr>
          <w:rFonts w:ascii="gobCL" w:eastAsia="gobCL" w:hAnsi="gobCL" w:cs="gobCL"/>
          <w:color w:val="000000"/>
        </w:rPr>
      </w:pPr>
    </w:p>
    <w:p w:rsidR="000703E3" w:rsidRDefault="001F6939">
      <w:pPr>
        <w:numPr>
          <w:ilvl w:val="0"/>
          <w:numId w:val="3"/>
        </w:numPr>
        <w:pBdr>
          <w:top w:val="nil"/>
          <w:left w:val="nil"/>
          <w:bottom w:val="nil"/>
          <w:right w:val="nil"/>
          <w:between w:val="nil"/>
        </w:pBdr>
        <w:spacing w:after="0"/>
        <w:jc w:val="both"/>
        <w:rPr>
          <w:rFonts w:ascii="gobCL" w:eastAsia="gobCL" w:hAnsi="gobCL" w:cs="gobCL"/>
          <w:color w:val="000000"/>
        </w:rPr>
      </w:pPr>
      <w:r>
        <w:rPr>
          <w:rFonts w:ascii="gobCL" w:eastAsia="gobCL" w:hAnsi="gobCL" w:cs="gobCL"/>
        </w:rPr>
        <w:lastRenderedPageBreak/>
        <w:t xml:space="preserve">Suscripción de Declaración jurada de no consanguinidad en la rendición de gastos, Anexo N°3.  </w:t>
      </w:r>
    </w:p>
    <w:p w:rsidR="000703E3" w:rsidRDefault="001F6939">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AOS, </w:t>
      </w:r>
      <w:r>
        <w:rPr>
          <w:rFonts w:ascii="gobCL" w:eastAsia="gobCL" w:hAnsi="gobCL" w:cs="gobCL"/>
          <w:b/>
          <w:color w:val="000000"/>
        </w:rPr>
        <w:t>a la fecha la formalización.</w:t>
      </w:r>
    </w:p>
    <w:p w:rsidR="000703E3" w:rsidRDefault="001F6939">
      <w:pPr>
        <w:numPr>
          <w:ilvl w:val="0"/>
          <w:numId w:val="3"/>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No haber sido beneficiario de cualquier convocatoria Reactívate de Sercotec 2020.</w:t>
      </w:r>
    </w:p>
    <w:p w:rsidR="000703E3" w:rsidRDefault="001F6939">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En caso que el plan de inversión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p w:rsidR="000703E3" w:rsidRDefault="000703E3">
      <w:pPr>
        <w:pBdr>
          <w:top w:val="nil"/>
          <w:left w:val="nil"/>
          <w:bottom w:val="nil"/>
          <w:right w:val="nil"/>
          <w:between w:val="nil"/>
        </w:pBdr>
        <w:spacing w:before="240" w:after="0" w:line="276" w:lineRule="auto"/>
        <w:ind w:left="720"/>
        <w:jc w:val="both"/>
        <w:rPr>
          <w:rFonts w:ascii="gobCL" w:eastAsia="gobCL" w:hAnsi="gobCL" w:cs="gobCL"/>
          <w:color w:val="000000"/>
        </w:rPr>
      </w:pPr>
    </w:p>
    <w:p w:rsidR="000703E3" w:rsidRDefault="001F6939">
      <w:pPr>
        <w:spacing w:before="240" w:after="240"/>
        <w:jc w:val="both"/>
        <w:rPr>
          <w:rFonts w:ascii="gobCL" w:eastAsia="gobCL" w:hAnsi="gobCL" w:cs="gobCL"/>
          <w:b/>
        </w:rPr>
      </w:pPr>
      <w:r>
        <w:rPr>
          <w:rFonts w:ascii="gobCL" w:eastAsia="gobCL" w:hAnsi="gobCL" w:cs="gobCL"/>
          <w:b/>
        </w:rPr>
        <w:t>2.2. ¿Quiénes NO pueden participar del programa?</w:t>
      </w:r>
    </w:p>
    <w:p w:rsidR="000703E3" w:rsidRDefault="001F6939">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3"/>
      </w:r>
      <w:r>
        <w:rPr>
          <w:rFonts w:ascii="gobCL" w:eastAsia="gobCL" w:hAnsi="gobCL" w:cs="gobCL"/>
        </w:rPr>
        <w:t>:</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lastRenderedPageBreak/>
        <w:t>Las personas naturales o jurídicas que tengan vigente o suscriban contratos de prestación de servicios con Sercotec, o el AOS a cargo de la convocatoria, o quienes participen en la asignación de recursos correspondientes a la presente convocatoria.</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rsidR="000703E3" w:rsidRDefault="001F6939">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0703E3" w:rsidRDefault="001F6939">
      <w:pPr>
        <w:spacing w:before="240" w:after="240"/>
        <w:jc w:val="both"/>
        <w:rPr>
          <w:rFonts w:ascii="gobCL" w:eastAsia="gobCL" w:hAnsi="gobCL" w:cs="gobCL"/>
          <w:b/>
        </w:rPr>
      </w:pPr>
      <w:r>
        <w:rPr>
          <w:rFonts w:ascii="gobCL" w:eastAsia="gobCL" w:hAnsi="gobCL" w:cs="gobCL"/>
          <w:b/>
        </w:rPr>
        <w:t>2.3. ¿En qué consiste?</w:t>
      </w:r>
    </w:p>
    <w:p w:rsidR="000703E3" w:rsidRDefault="001F6939">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hasta </w:t>
      </w:r>
      <w:r>
        <w:rPr>
          <w:rFonts w:ascii="gobCL" w:eastAsia="gobCL" w:hAnsi="gobCL" w:cs="gobCL"/>
          <w:b/>
          <w:color w:val="000000"/>
        </w:rPr>
        <w:t>$ 3.000.000.- (tres millones de pesos),</w:t>
      </w:r>
      <w:r>
        <w:rPr>
          <w:rFonts w:ascii="gobCL" w:eastAsia="gobCL" w:hAnsi="gobCL" w:cs="gobCL"/>
          <w:color w:val="000000"/>
        </w:rPr>
        <w:t xml:space="preserve"> que busca reactivar la actividad económica de los beneficiarios, a través de la implementación de un Plan de Inversión.</w:t>
      </w:r>
    </w:p>
    <w:p w:rsidR="000703E3" w:rsidRDefault="001F6939">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El</w:t>
      </w:r>
      <w:r>
        <w:rPr>
          <w:color w:val="000000"/>
        </w:rPr>
        <w:t> </w:t>
      </w:r>
      <w:r>
        <w:rPr>
          <w:rFonts w:ascii="gobCL" w:eastAsia="gobCL" w:hAnsi="gobCL" w:cs="gobCL"/>
          <w:color w:val="000000"/>
        </w:rPr>
        <w:t>subsidio al cual se podrá acceder, se calculará en consideración del nivel de venta anual de cada empresa, según los siguientes tramos:</w:t>
      </w:r>
    </w:p>
    <w:p w:rsidR="000703E3" w:rsidRDefault="001F6939">
      <w:pPr>
        <w:numPr>
          <w:ilvl w:val="0"/>
          <w:numId w:val="6"/>
        </w:numPr>
        <w:pBdr>
          <w:top w:val="nil"/>
          <w:left w:val="nil"/>
          <w:bottom w:val="nil"/>
          <w:right w:val="nil"/>
          <w:between w:val="nil"/>
        </w:pBdr>
        <w:spacing w:before="240" w:after="0" w:line="240" w:lineRule="auto"/>
        <w:ind w:firstLine="426"/>
        <w:jc w:val="both"/>
        <w:rPr>
          <w:rFonts w:ascii="gobCL" w:eastAsia="gobCL" w:hAnsi="gobCL" w:cs="gobCL"/>
          <w:color w:val="000000"/>
        </w:rPr>
      </w:pPr>
      <w:r>
        <w:rPr>
          <w:rFonts w:ascii="gobCL" w:eastAsia="gobCL" w:hAnsi="gobCL" w:cs="gobCL"/>
          <w:color w:val="000000"/>
        </w:rPr>
        <w:t xml:space="preserve">Tramo 1: </w:t>
      </w:r>
      <w:r>
        <w:rPr>
          <w:rFonts w:ascii="gobCL" w:eastAsia="gobCL" w:hAnsi="gobCL" w:cs="gobCL"/>
          <w:color w:val="000000"/>
        </w:rPr>
        <w:tab/>
        <w:t xml:space="preserve">200 - 600 UF al año, hasta </w:t>
      </w:r>
      <w:r>
        <w:rPr>
          <w:rFonts w:ascii="gobCL" w:eastAsia="gobCL" w:hAnsi="gobCL" w:cs="gobCL"/>
          <w:b/>
          <w:color w:val="000000"/>
        </w:rPr>
        <w:t>$1.500.000.- (un millón y medio de pesos).</w:t>
      </w:r>
    </w:p>
    <w:p w:rsidR="000703E3" w:rsidRDefault="000703E3">
      <w:pPr>
        <w:pBdr>
          <w:top w:val="nil"/>
          <w:left w:val="nil"/>
          <w:bottom w:val="nil"/>
          <w:right w:val="nil"/>
          <w:between w:val="nil"/>
        </w:pBdr>
        <w:spacing w:after="0" w:line="240" w:lineRule="auto"/>
        <w:ind w:firstLine="426"/>
        <w:jc w:val="both"/>
        <w:rPr>
          <w:rFonts w:ascii="gobCL" w:eastAsia="gobCL" w:hAnsi="gobCL" w:cs="gobCL"/>
          <w:color w:val="000000"/>
        </w:rPr>
      </w:pPr>
    </w:p>
    <w:p w:rsidR="000703E3" w:rsidRDefault="001F6939">
      <w:pPr>
        <w:numPr>
          <w:ilvl w:val="0"/>
          <w:numId w:val="6"/>
        </w:numPr>
        <w:pBdr>
          <w:top w:val="nil"/>
          <w:left w:val="nil"/>
          <w:bottom w:val="nil"/>
          <w:right w:val="nil"/>
          <w:between w:val="nil"/>
        </w:pBdr>
        <w:spacing w:after="0" w:line="240" w:lineRule="auto"/>
        <w:ind w:firstLine="426"/>
        <w:jc w:val="both"/>
        <w:rPr>
          <w:rFonts w:ascii="gobCL" w:eastAsia="gobCL" w:hAnsi="gobCL" w:cs="gobCL"/>
          <w:color w:val="000000"/>
        </w:rPr>
      </w:pPr>
      <w:r>
        <w:rPr>
          <w:rFonts w:ascii="gobCL" w:eastAsia="gobCL" w:hAnsi="gobCL" w:cs="gobCL"/>
          <w:color w:val="000000"/>
        </w:rPr>
        <w:t xml:space="preserve">Tramo 2: </w:t>
      </w:r>
      <w:r>
        <w:rPr>
          <w:rFonts w:ascii="gobCL" w:eastAsia="gobCL" w:hAnsi="gobCL" w:cs="gobCL"/>
          <w:color w:val="000000"/>
        </w:rPr>
        <w:tab/>
        <w:t xml:space="preserve">más de 600 UF al año, hasta </w:t>
      </w:r>
      <w:r>
        <w:rPr>
          <w:rFonts w:ascii="gobCL" w:eastAsia="gobCL" w:hAnsi="gobCL" w:cs="gobCL"/>
          <w:b/>
          <w:color w:val="000000"/>
        </w:rPr>
        <w:t>$3.000.000.- (tres millones de pesos).</w:t>
      </w:r>
    </w:p>
    <w:p w:rsidR="000703E3" w:rsidRDefault="001F6939">
      <w:p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El período a considerar para este cálculo será marzo 2019 a febrero 2020.</w:t>
      </w:r>
    </w:p>
    <w:p w:rsidR="000703E3" w:rsidRDefault="001F6939">
      <w:p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Los recursos estarán disponibles para los beneficiarios, a través de compra asistida por un AOS o reembolso.</w:t>
      </w:r>
    </w:p>
    <w:p w:rsidR="000703E3" w:rsidRDefault="000703E3">
      <w:pPr>
        <w:pBdr>
          <w:top w:val="nil"/>
          <w:left w:val="nil"/>
          <w:bottom w:val="nil"/>
          <w:right w:val="nil"/>
          <w:between w:val="nil"/>
        </w:pBdr>
        <w:spacing w:before="240" w:after="0" w:line="240" w:lineRule="auto"/>
        <w:jc w:val="both"/>
        <w:rPr>
          <w:rFonts w:ascii="gobCL" w:eastAsia="gobCL" w:hAnsi="gobCL" w:cs="gobCL"/>
          <w:color w:val="000000"/>
        </w:rPr>
      </w:pPr>
    </w:p>
    <w:p w:rsidR="000703E3" w:rsidRDefault="001F6939">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0703E3" w:rsidRDefault="001F6939">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Con el subsidio entregado por Sercotec es posible financiar los siguientes ítems de gastos (éstos podrán ser financiados a partir del 1 de marzo del 2020 y por el tiempo de vigencia del contrato): </w:t>
      </w:r>
    </w:p>
    <w:p w:rsidR="000703E3" w:rsidRDefault="000703E3">
      <w:pPr>
        <w:pBdr>
          <w:top w:val="nil"/>
          <w:left w:val="nil"/>
          <w:bottom w:val="nil"/>
          <w:right w:val="nil"/>
          <w:between w:val="nil"/>
        </w:pBdr>
        <w:spacing w:after="0"/>
        <w:ind w:left="1080" w:hanging="360"/>
        <w:jc w:val="both"/>
        <w:rPr>
          <w:rFonts w:ascii="gobCL" w:eastAsia="gobCL" w:hAnsi="gobCL" w:cs="gobCL"/>
        </w:rPr>
      </w:pPr>
    </w:p>
    <w:p w:rsidR="000703E3" w:rsidRDefault="001F6939">
      <w:pPr>
        <w:numPr>
          <w:ilvl w:val="0"/>
          <w:numId w:val="9"/>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0703E3" w:rsidRDefault="000703E3">
      <w:pPr>
        <w:pBdr>
          <w:top w:val="nil"/>
          <w:left w:val="nil"/>
          <w:bottom w:val="nil"/>
          <w:right w:val="nil"/>
          <w:between w:val="nil"/>
        </w:pBdr>
        <w:spacing w:after="0"/>
        <w:ind w:left="720"/>
        <w:jc w:val="both"/>
        <w:rPr>
          <w:rFonts w:ascii="gobCL" w:eastAsia="gobCL" w:hAnsi="gobCL" w:cs="gobCL"/>
        </w:rPr>
      </w:pPr>
    </w:p>
    <w:p w:rsidR="000703E3" w:rsidRDefault="001F6939">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Materias primas y materiales</w:t>
      </w:r>
      <w:r>
        <w:rPr>
          <w:rFonts w:ascii="gobCL" w:eastAsia="gobCL" w:hAnsi="gobCL" w:cs="gobCL"/>
        </w:rPr>
        <w:t xml:space="preserve">: Comprende el gasto en aquellos bienes directos de la naturaleza o semielaborados que resultan indispensables para el proceso productivo y </w:t>
      </w:r>
      <w:r>
        <w:rPr>
          <w:rFonts w:ascii="gobCL" w:eastAsia="gobCL" w:hAnsi="gobCL" w:cs="gobCL"/>
        </w:rPr>
        <w:lastRenderedPageBreak/>
        <w:t>que son transformados o agregados a otros, para la obtención de un producto final; por ejemplo, harina para la elaboración de pan, o madera para la elaboración de muebles, barniz en la elaboración de muebles, entre otros.</w:t>
      </w:r>
    </w:p>
    <w:p w:rsidR="000703E3" w:rsidRDefault="000703E3">
      <w:pPr>
        <w:pBdr>
          <w:top w:val="nil"/>
          <w:left w:val="nil"/>
          <w:bottom w:val="nil"/>
          <w:right w:val="nil"/>
          <w:between w:val="nil"/>
        </w:pBdr>
        <w:spacing w:after="0"/>
        <w:ind w:left="1080" w:hanging="720"/>
        <w:jc w:val="both"/>
        <w:rPr>
          <w:rFonts w:ascii="gobCL" w:eastAsia="gobCL" w:hAnsi="gobCL" w:cs="gobCL"/>
        </w:rPr>
      </w:pPr>
    </w:p>
    <w:p w:rsidR="000703E3" w:rsidRDefault="001F6939">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0703E3" w:rsidRDefault="000703E3">
      <w:pPr>
        <w:pBdr>
          <w:top w:val="nil"/>
          <w:left w:val="nil"/>
          <w:bottom w:val="nil"/>
          <w:right w:val="nil"/>
          <w:between w:val="nil"/>
        </w:pBdr>
        <w:spacing w:after="0"/>
        <w:ind w:left="1080" w:hanging="720"/>
        <w:jc w:val="both"/>
        <w:rPr>
          <w:rFonts w:ascii="gobCL" w:eastAsia="gobCL" w:hAnsi="gobCL" w:cs="gobCL"/>
        </w:rPr>
      </w:pPr>
    </w:p>
    <w:p w:rsidR="000703E3" w:rsidRDefault="001F6939">
      <w:pPr>
        <w:numPr>
          <w:ilvl w:val="0"/>
          <w:numId w:val="4"/>
        </w:numPr>
        <w:pBdr>
          <w:top w:val="nil"/>
          <w:left w:val="nil"/>
          <w:bottom w:val="nil"/>
          <w:right w:val="nil"/>
          <w:between w:val="nil"/>
        </w:pBdr>
        <w:spacing w:after="0"/>
        <w:jc w:val="both"/>
        <w:rPr>
          <w:rFonts w:ascii="gobCL" w:eastAsia="gobCL" w:hAnsi="gobCL" w:cs="gobCL"/>
          <w:b/>
        </w:rPr>
      </w:pPr>
      <w:r>
        <w:rPr>
          <w:rFonts w:ascii="gobCL" w:eastAsia="gobCL" w:hAnsi="gobCL" w:cs="gobCL"/>
          <w:b/>
        </w:rPr>
        <w:t>Arriendos:</w:t>
      </w:r>
      <w:r>
        <w:rPr>
          <w:rFonts w:ascii="gobCL" w:eastAsia="gobCL" w:hAnsi="gobCL" w:cs="gobCL"/>
        </w:rPr>
        <w:t xml:space="preserve"> Comprende el gasto en arriendos, actuales o nuevos, de bienes raíces (industriales, comerciales o agrícolas), y/o maquinarias necesarias para el desarrollo del negocio. </w:t>
      </w:r>
      <w:r>
        <w:rPr>
          <w:rFonts w:ascii="gobCL" w:eastAsia="gobCL" w:hAnsi="gobCL" w:cs="gobCL"/>
          <w:b/>
        </w:rPr>
        <w:t>Para validar el pago por dicho concepto, el contrato de arriendo deberá estar vigente, tener una fecha de suscripción anterior al 01 de diciembre de 2019 y estar suscrito ante Notario Público.</w:t>
      </w:r>
      <w:r>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Pr>
          <w:rFonts w:ascii="gobCL" w:eastAsia="gobCL" w:hAnsi="gobCL" w:cs="gobCL"/>
          <w:b/>
        </w:rPr>
        <w:t xml:space="preserve">Se podrá financiar, asimismo, en el caso de que el beneficiario sea persona jurídica y el contrato de arriendo sea suscrito por el representante legal o un socio, que tenga más de un 50% de participación en el capital social, como arrendatario. </w:t>
      </w:r>
    </w:p>
    <w:p w:rsidR="000703E3" w:rsidRDefault="000703E3">
      <w:pPr>
        <w:pBdr>
          <w:top w:val="nil"/>
          <w:left w:val="nil"/>
          <w:bottom w:val="nil"/>
          <w:right w:val="nil"/>
          <w:between w:val="nil"/>
        </w:pBdr>
        <w:ind w:left="720"/>
        <w:rPr>
          <w:rFonts w:ascii="gobCL" w:eastAsia="gobCL" w:hAnsi="gobCL" w:cs="gobCL"/>
          <w:b/>
          <w:color w:val="000000"/>
        </w:rPr>
      </w:pPr>
    </w:p>
    <w:p w:rsidR="000703E3" w:rsidRDefault="001F6939">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Pago de sueldos.</w:t>
      </w:r>
      <w:r>
        <w:rPr>
          <w:rFonts w:ascii="gobCL" w:eastAsia="gobCL" w:hAnsi="gobCL" w:cs="gobCL"/>
        </w:rPr>
        <w:t xml:space="preserve"> Considera el pago de sueldos para aquellos casos en donde el empleador no se haya adscrito a la Ley 21.227 sobre Protección del Empleo. Para el pago retroactivo de este tipo de gasto, el contrato de trabajo, debe estar vigente y haber sido firmado en una fecha anterior al 1 de diciembre de 2019.</w:t>
      </w:r>
    </w:p>
    <w:p w:rsidR="000703E3" w:rsidRDefault="000703E3">
      <w:pPr>
        <w:pBdr>
          <w:top w:val="nil"/>
          <w:left w:val="nil"/>
          <w:bottom w:val="nil"/>
          <w:right w:val="nil"/>
          <w:between w:val="nil"/>
        </w:pBdr>
        <w:spacing w:after="0"/>
        <w:ind w:left="720"/>
        <w:rPr>
          <w:rFonts w:ascii="gobCL" w:eastAsia="gobCL" w:hAnsi="gobCL" w:cs="gobCL"/>
          <w:color w:val="000000"/>
        </w:rPr>
      </w:pPr>
    </w:p>
    <w:p w:rsidR="000703E3" w:rsidRDefault="001F6939">
      <w:pPr>
        <w:pBdr>
          <w:top w:val="nil"/>
          <w:left w:val="nil"/>
          <w:bottom w:val="nil"/>
          <w:right w:val="nil"/>
          <w:between w:val="nil"/>
        </w:pBdr>
        <w:spacing w:after="0"/>
        <w:ind w:left="1080"/>
        <w:jc w:val="both"/>
        <w:rPr>
          <w:rFonts w:ascii="gobCL" w:eastAsia="gobCL" w:hAnsi="gobCL" w:cs="gobCL"/>
          <w:color w:val="000000"/>
        </w:rPr>
      </w:pPr>
      <w:r>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rsidR="000703E3" w:rsidRDefault="000703E3">
      <w:pPr>
        <w:pBdr>
          <w:top w:val="nil"/>
          <w:left w:val="nil"/>
          <w:bottom w:val="nil"/>
          <w:right w:val="nil"/>
          <w:between w:val="nil"/>
        </w:pBdr>
        <w:spacing w:after="0"/>
        <w:ind w:left="1080" w:hanging="720"/>
        <w:jc w:val="both"/>
        <w:rPr>
          <w:rFonts w:ascii="gobCL" w:eastAsia="gobCL" w:hAnsi="gobCL" w:cs="gobCL"/>
        </w:rPr>
      </w:pPr>
    </w:p>
    <w:p w:rsidR="000703E3" w:rsidRDefault="001F6939">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Consumos básicos.</w:t>
      </w:r>
      <w:r>
        <w:rPr>
          <w:rFonts w:ascii="gobCL" w:eastAsia="gobCL" w:hAnsi="gobCL" w:cs="gobCL"/>
        </w:rPr>
        <w:t xml:space="preserve"> Considera el pago de cuentas de agua, energía eléctrica, gas, teléfono y/o internet, asociados al negocio afectado (la boleta o factura debe estar a nombre de la empresa y tener fecha de facturación posterior al 1 de marzo de 2020). </w:t>
      </w:r>
    </w:p>
    <w:p w:rsidR="000703E3" w:rsidRDefault="000703E3">
      <w:pPr>
        <w:pBdr>
          <w:top w:val="nil"/>
          <w:left w:val="nil"/>
          <w:bottom w:val="nil"/>
          <w:right w:val="nil"/>
          <w:between w:val="nil"/>
        </w:pBdr>
        <w:spacing w:after="0"/>
        <w:ind w:left="1080"/>
        <w:jc w:val="both"/>
        <w:rPr>
          <w:rFonts w:ascii="gobCL" w:eastAsia="gobCL" w:hAnsi="gobCL" w:cs="gobCL"/>
        </w:rPr>
      </w:pPr>
    </w:p>
    <w:p w:rsidR="000703E3" w:rsidRDefault="000703E3">
      <w:pPr>
        <w:pBdr>
          <w:top w:val="nil"/>
          <w:left w:val="nil"/>
          <w:bottom w:val="nil"/>
          <w:right w:val="nil"/>
          <w:between w:val="nil"/>
        </w:pBdr>
        <w:spacing w:after="0"/>
        <w:jc w:val="both"/>
        <w:rPr>
          <w:rFonts w:ascii="gobCL" w:eastAsia="gobCL" w:hAnsi="gobCL" w:cs="gobCL"/>
        </w:rPr>
      </w:pPr>
    </w:p>
    <w:p w:rsidR="000703E3" w:rsidRDefault="001F6939">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lastRenderedPageBreak/>
        <w:t>Cuotas</w:t>
      </w:r>
      <w:r>
        <w:rPr>
          <w:rFonts w:ascii="gobCL" w:eastAsia="gobCL" w:hAnsi="gobCL" w:cs="gobCL"/>
          <w:b/>
          <w:color w:val="000000"/>
        </w:rPr>
        <w:t xml:space="preserve"> de crédito de consumo</w:t>
      </w:r>
      <w:r>
        <w:rPr>
          <w:rFonts w:ascii="gobCL" w:eastAsia="gobCL" w:hAnsi="gobCL" w:cs="gobCL"/>
          <w:color w:val="000000"/>
        </w:rPr>
        <w:t xml:space="preserve">. Considera el pago del capital de la deuda y no de los intereses. Los créditos deben estar suscritos con instituciones financieras, y deben estar a nombre de una persona jurídica. </w:t>
      </w:r>
    </w:p>
    <w:p w:rsidR="000703E3" w:rsidRDefault="000703E3">
      <w:pPr>
        <w:pBdr>
          <w:top w:val="nil"/>
          <w:left w:val="nil"/>
          <w:bottom w:val="nil"/>
          <w:right w:val="nil"/>
          <w:between w:val="nil"/>
        </w:pBdr>
        <w:spacing w:after="0"/>
        <w:jc w:val="both"/>
        <w:rPr>
          <w:rFonts w:ascii="gobCL" w:eastAsia="gobCL" w:hAnsi="gobCL" w:cs="gobCL"/>
        </w:rPr>
      </w:pPr>
    </w:p>
    <w:p w:rsidR="000703E3" w:rsidRDefault="001F6939">
      <w:pPr>
        <w:pBdr>
          <w:top w:val="nil"/>
          <w:left w:val="nil"/>
          <w:bottom w:val="nil"/>
          <w:right w:val="nil"/>
          <w:between w:val="nil"/>
        </w:pBdr>
        <w:spacing w:after="0"/>
        <w:ind w:left="1080"/>
        <w:jc w:val="both"/>
        <w:rPr>
          <w:rFonts w:ascii="gobCL" w:eastAsia="gobCL" w:hAnsi="gobCL" w:cs="gobCL"/>
        </w:rPr>
      </w:pPr>
      <w:r>
        <w:rPr>
          <w:rFonts w:ascii="gobCL" w:eastAsia="gobCL" w:hAnsi="gobCL" w:cs="gobCL"/>
        </w:rPr>
        <w:t>Además, dentro del ítem capital de trabajo,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rsidR="000703E3" w:rsidRDefault="000703E3">
      <w:pPr>
        <w:pBdr>
          <w:top w:val="nil"/>
          <w:left w:val="nil"/>
          <w:bottom w:val="nil"/>
          <w:right w:val="nil"/>
          <w:between w:val="nil"/>
        </w:pBdr>
        <w:spacing w:after="0"/>
        <w:jc w:val="both"/>
        <w:rPr>
          <w:rFonts w:ascii="gobCL" w:eastAsia="gobCL" w:hAnsi="gobCL" w:cs="gobCL"/>
        </w:rPr>
      </w:pPr>
    </w:p>
    <w:p w:rsidR="000703E3" w:rsidRDefault="001F6939">
      <w:pPr>
        <w:numPr>
          <w:ilvl w:val="0"/>
          <w:numId w:val="9"/>
        </w:numPr>
        <w:pBdr>
          <w:top w:val="nil"/>
          <w:left w:val="nil"/>
          <w:bottom w:val="nil"/>
          <w:right w:val="nil"/>
          <w:between w:val="nil"/>
        </w:pBdr>
        <w:rPr>
          <w:rFonts w:ascii="gobCL" w:eastAsia="gobCL" w:hAnsi="gobCL" w:cs="gobCL"/>
          <w:color w:val="000000"/>
        </w:rPr>
      </w:pPr>
      <w:r>
        <w:rPr>
          <w:rFonts w:ascii="gobCL" w:eastAsia="gobCL" w:hAnsi="gobCL" w:cs="gobCL"/>
          <w:b/>
          <w:color w:val="000000"/>
        </w:rPr>
        <w:t>Habilitación de infraestructura</w:t>
      </w:r>
      <w:r>
        <w:rPr>
          <w:rFonts w:ascii="gobCL" w:eastAsia="gobCL" w:hAnsi="gobCL" w:cs="gobCL"/>
          <w:color w:val="000000"/>
        </w:rPr>
        <w:t xml:space="preserve"> (obras menores a implementar dentro de los 2 meses de plazo del contrato).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ceda el uso al empresario/a.                                                               En el caso de que sea arrendataria, el contrato de arrendamiento no puede prohibir la habilitación de infraestructura.</w:t>
      </w:r>
    </w:p>
    <w:p w:rsidR="000703E3" w:rsidRDefault="000703E3">
      <w:pPr>
        <w:pBdr>
          <w:top w:val="nil"/>
          <w:left w:val="nil"/>
          <w:bottom w:val="nil"/>
          <w:right w:val="nil"/>
          <w:between w:val="nil"/>
        </w:pBdr>
        <w:spacing w:after="0"/>
        <w:ind w:left="720"/>
        <w:jc w:val="both"/>
        <w:rPr>
          <w:rFonts w:ascii="gobCL" w:eastAsia="gobCL" w:hAnsi="gobCL" w:cs="gobCL"/>
        </w:rPr>
      </w:pPr>
      <w:bookmarkStart w:id="4" w:name="_heading=h.3znysh7" w:colFirst="0" w:colLast="0"/>
      <w:bookmarkEnd w:id="4"/>
    </w:p>
    <w:p w:rsidR="000703E3" w:rsidRDefault="000703E3">
      <w:pPr>
        <w:pBdr>
          <w:top w:val="nil"/>
          <w:left w:val="nil"/>
          <w:bottom w:val="nil"/>
          <w:right w:val="nil"/>
          <w:between w:val="nil"/>
        </w:pBdr>
        <w:spacing w:after="0"/>
        <w:ind w:left="720"/>
        <w:jc w:val="both"/>
        <w:rPr>
          <w:rFonts w:ascii="gobCL" w:eastAsia="gobCL" w:hAnsi="gobCL" w:cs="gobCL"/>
        </w:rPr>
      </w:pPr>
    </w:p>
    <w:p w:rsidR="000703E3" w:rsidRDefault="001F6939">
      <w:pPr>
        <w:numPr>
          <w:ilvl w:val="0"/>
          <w:numId w:val="9"/>
        </w:numPr>
        <w:pBdr>
          <w:top w:val="nil"/>
          <w:left w:val="nil"/>
          <w:bottom w:val="nil"/>
          <w:right w:val="nil"/>
          <w:between w:val="nil"/>
        </w:pBdr>
        <w:spacing w:after="0"/>
        <w:jc w:val="both"/>
        <w:rPr>
          <w:rFonts w:ascii="gobCL" w:eastAsia="gobCL" w:hAnsi="gobCL" w:cs="gobCL"/>
        </w:rPr>
      </w:pPr>
      <w:r>
        <w:rPr>
          <w:rFonts w:ascii="gobCL" w:eastAsia="gobCL" w:hAnsi="gobCL" w:cs="gobCL"/>
          <w:b/>
        </w:rPr>
        <w:t xml:space="preserve">Promoción, publicidad y difusión: </w:t>
      </w:r>
      <w:r>
        <w:rPr>
          <w:rFonts w:ascii="gobCL" w:eastAsia="gobCL" w:hAnsi="gobCL" w:cs="gobCL"/>
        </w:rPr>
        <w:t xml:space="preserve">comprende el gasto en contratación de servicios publicitarios, de promoción y difusión de los proyectos de fomento productivo, incluidos servicios asociados a Marketing Digital.     </w:t>
      </w:r>
    </w:p>
    <w:p w:rsidR="000703E3" w:rsidRDefault="000703E3">
      <w:pPr>
        <w:pBdr>
          <w:top w:val="nil"/>
          <w:left w:val="nil"/>
          <w:bottom w:val="nil"/>
          <w:right w:val="nil"/>
          <w:between w:val="nil"/>
        </w:pBdr>
        <w:ind w:left="720"/>
        <w:rPr>
          <w:rFonts w:ascii="gobCL" w:eastAsia="gobCL" w:hAnsi="gobCL" w:cs="gobCL"/>
          <w:color w:val="000000"/>
        </w:rPr>
      </w:pPr>
    </w:p>
    <w:p w:rsidR="000703E3" w:rsidRDefault="001F6939">
      <w:pPr>
        <w:pBdr>
          <w:top w:val="nil"/>
          <w:left w:val="nil"/>
          <w:bottom w:val="nil"/>
          <w:right w:val="nil"/>
          <w:between w:val="nil"/>
        </w:pBdr>
        <w:spacing w:after="0"/>
        <w:jc w:val="both"/>
        <w:rPr>
          <w:rFonts w:ascii="gobCL" w:eastAsia="gobCL" w:hAnsi="gobCL" w:cs="gobCL"/>
        </w:rPr>
      </w:pPr>
      <w:r>
        <w:rPr>
          <w:rFonts w:ascii="gobCL" w:eastAsia="gobCL" w:hAnsi="gobCL" w:cs="gobCL"/>
        </w:rPr>
        <w:t>Se podrá financiar el gasto por servicio de flete derivado de la compra y traslado de materias primas, mercadería y materiales.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0703E3" w:rsidRDefault="000703E3">
      <w:pPr>
        <w:pBdr>
          <w:top w:val="nil"/>
          <w:left w:val="nil"/>
          <w:bottom w:val="nil"/>
          <w:right w:val="nil"/>
          <w:between w:val="nil"/>
        </w:pBdr>
        <w:spacing w:after="0"/>
        <w:ind w:left="1080" w:hanging="720"/>
        <w:jc w:val="both"/>
        <w:rPr>
          <w:rFonts w:ascii="gobCL" w:eastAsia="gobCL" w:hAnsi="gobCL" w:cs="gobCL"/>
          <w:color w:val="000000"/>
        </w:rPr>
      </w:pPr>
    </w:p>
    <w:p w:rsidR="001F6939" w:rsidRDefault="001F6939">
      <w:pPr>
        <w:pBdr>
          <w:top w:val="nil"/>
          <w:left w:val="nil"/>
          <w:bottom w:val="nil"/>
          <w:right w:val="nil"/>
          <w:between w:val="nil"/>
        </w:pBdr>
        <w:spacing w:after="0"/>
        <w:ind w:left="1080" w:hanging="720"/>
        <w:jc w:val="both"/>
        <w:rPr>
          <w:rFonts w:ascii="gobCL" w:eastAsia="gobCL" w:hAnsi="gobCL" w:cs="gobCL"/>
          <w:color w:val="000000"/>
        </w:rPr>
      </w:pPr>
    </w:p>
    <w:p w:rsidR="000703E3" w:rsidRDefault="001F6939">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0703E3" w:rsidRDefault="000703E3">
      <w:pPr>
        <w:pBdr>
          <w:top w:val="nil"/>
          <w:left w:val="nil"/>
          <w:bottom w:val="nil"/>
          <w:right w:val="nil"/>
          <w:between w:val="nil"/>
        </w:pBdr>
        <w:spacing w:after="0"/>
        <w:jc w:val="both"/>
        <w:rPr>
          <w:rFonts w:ascii="gobCL" w:eastAsia="gobCL" w:hAnsi="gobCL" w:cs="gobCL"/>
          <w:b/>
        </w:rPr>
      </w:pPr>
    </w:p>
    <w:p w:rsidR="000703E3" w:rsidRDefault="001F6939">
      <w:pPr>
        <w:numPr>
          <w:ilvl w:val="0"/>
          <w:numId w:val="10"/>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lastRenderedPageBreak/>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0703E3" w:rsidRDefault="001F6939">
      <w:pPr>
        <w:numPr>
          <w:ilvl w:val="0"/>
          <w:numId w:val="10"/>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impuestos que tengan carácter de recuperables por parte del beneficiario y/o AOS,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0703E3" w:rsidRDefault="001F6939">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0703E3" w:rsidRDefault="001F6939">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0703E3" w:rsidRDefault="001F6939">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0703E3" w:rsidRDefault="001F6939">
      <w:pPr>
        <w:numPr>
          <w:ilvl w:val="0"/>
          <w:numId w:val="10"/>
        </w:numPr>
        <w:pBdr>
          <w:top w:val="nil"/>
          <w:left w:val="nil"/>
          <w:bottom w:val="nil"/>
          <w:right w:val="nil"/>
          <w:between w:val="nil"/>
        </w:pBdr>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0703E3" w:rsidRDefault="001F6939">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0703E3" w:rsidRDefault="001F6939">
      <w:pPr>
        <w:numPr>
          <w:ilvl w:val="0"/>
          <w:numId w:val="10"/>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rPr>
        <w:t xml:space="preserve"> </w:t>
      </w:r>
      <w:r>
        <w:rPr>
          <w:rFonts w:ascii="gobCL" w:eastAsia="gobCL" w:hAnsi="gobCL" w:cs="gobCL"/>
          <w:color w:val="000000"/>
        </w:rPr>
        <w:t xml:space="preserve">Cualquier tipo de vehículo que requiera permiso de circulación (patente). </w:t>
      </w:r>
    </w:p>
    <w:p w:rsidR="001F6939" w:rsidRDefault="001F6939" w:rsidP="001F6939">
      <w:pPr>
        <w:pBdr>
          <w:top w:val="nil"/>
          <w:left w:val="nil"/>
          <w:bottom w:val="nil"/>
          <w:right w:val="nil"/>
          <w:between w:val="nil"/>
        </w:pBdr>
        <w:spacing w:before="240" w:after="240" w:line="240" w:lineRule="auto"/>
        <w:jc w:val="both"/>
        <w:rPr>
          <w:rFonts w:ascii="gobCL" w:eastAsia="gobCL" w:hAnsi="gobCL" w:cs="gobCL"/>
          <w:color w:val="000000"/>
        </w:rPr>
      </w:pPr>
    </w:p>
    <w:p w:rsidR="001F6939" w:rsidRDefault="001F6939" w:rsidP="001F6939">
      <w:pPr>
        <w:pBdr>
          <w:top w:val="nil"/>
          <w:left w:val="nil"/>
          <w:bottom w:val="nil"/>
          <w:right w:val="nil"/>
          <w:between w:val="nil"/>
        </w:pBdr>
        <w:spacing w:before="240" w:after="240" w:line="240" w:lineRule="auto"/>
        <w:jc w:val="both"/>
        <w:rPr>
          <w:rFonts w:ascii="gobCL" w:eastAsia="gobCL" w:hAnsi="gobCL" w:cs="gobCL"/>
          <w:color w:val="000000"/>
        </w:rPr>
      </w:pPr>
    </w:p>
    <w:p w:rsidR="000703E3" w:rsidRDefault="001F6939">
      <w:pPr>
        <w:spacing w:before="240" w:after="240" w:line="240" w:lineRule="auto"/>
        <w:jc w:val="both"/>
        <w:rPr>
          <w:rFonts w:ascii="gobCL" w:eastAsia="gobCL" w:hAnsi="gobCL" w:cs="gobCL"/>
          <w:b/>
        </w:rPr>
      </w:pPr>
      <w:r>
        <w:rPr>
          <w:rFonts w:ascii="gobCL" w:eastAsia="gobCL" w:hAnsi="gobCL" w:cs="gobCL"/>
          <w:b/>
        </w:rPr>
        <w:t>3. Postulación</w:t>
      </w:r>
    </w:p>
    <w:p w:rsidR="000703E3" w:rsidRDefault="001F6939">
      <w:pPr>
        <w:spacing w:before="240" w:after="240" w:line="240" w:lineRule="auto"/>
        <w:jc w:val="both"/>
        <w:rPr>
          <w:rFonts w:ascii="gobCL" w:eastAsia="gobCL" w:hAnsi="gobCL" w:cs="gobCL"/>
          <w:b/>
        </w:rPr>
      </w:pPr>
      <w:r>
        <w:rPr>
          <w:rFonts w:ascii="gobCL" w:eastAsia="gobCL" w:hAnsi="gobCL" w:cs="gobCL"/>
          <w:b/>
        </w:rPr>
        <w:t>3.1. Plazos de postulación</w:t>
      </w:r>
      <w:r>
        <w:rPr>
          <w:rFonts w:ascii="gobCL" w:eastAsia="gobCL" w:hAnsi="gobCL" w:cs="gobCL"/>
          <w:b/>
          <w:vertAlign w:val="superscript"/>
        </w:rPr>
        <w:footnoteReference w:id="6"/>
      </w:r>
    </w:p>
    <w:p w:rsidR="000703E3" w:rsidRDefault="001F6939">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9 de julio de 2020, hasta las 15:00 horas del día 14 de julio de 2020. </w:t>
      </w:r>
    </w:p>
    <w:p w:rsidR="000703E3" w:rsidRDefault="001F6939">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7"/>
      </w:r>
      <w:r>
        <w:rPr>
          <w:rFonts w:ascii="gobCL" w:eastAsia="gobCL" w:hAnsi="gobCL" w:cs="gobCL"/>
        </w:rPr>
        <w:t>.</w:t>
      </w:r>
    </w:p>
    <w:p w:rsidR="000703E3" w:rsidRDefault="001F6939">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9">
        <w:r>
          <w:rPr>
            <w:rFonts w:ascii="gobCL" w:eastAsia="gobCL" w:hAnsi="gobCL" w:cs="gobCL"/>
            <w:color w:val="0563C1"/>
            <w:u w:val="single"/>
          </w:rPr>
          <w:t>www.sercotec.cl</w:t>
        </w:r>
      </w:hyperlink>
      <w:r>
        <w:rPr>
          <w:rFonts w:ascii="gobCL" w:eastAsia="gobCL" w:hAnsi="gobCL" w:cs="gobCL"/>
        </w:rPr>
        <w:t>.</w:t>
      </w:r>
    </w:p>
    <w:tbl>
      <w:tblPr>
        <w:tblStyle w:val="afc"/>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0703E3">
        <w:tc>
          <w:tcPr>
            <w:tcW w:w="8789" w:type="dxa"/>
            <w:shd w:val="clear" w:color="auto" w:fill="D9D9D9"/>
          </w:tcPr>
          <w:p w:rsidR="000703E3" w:rsidRDefault="001F6939">
            <w:pPr>
              <w:jc w:val="both"/>
              <w:rPr>
                <w:rFonts w:ascii="gobCL" w:eastAsia="gobCL" w:hAnsi="gobCL" w:cs="gobCL"/>
                <w:b/>
                <w:sz w:val="22"/>
                <w:szCs w:val="22"/>
                <w:u w:val="single"/>
              </w:rPr>
            </w:pPr>
            <w:r>
              <w:rPr>
                <w:rFonts w:ascii="gobCL" w:eastAsia="gobCL" w:hAnsi="gobCL" w:cs="gobCL"/>
                <w:b/>
                <w:sz w:val="22"/>
                <w:szCs w:val="22"/>
                <w:u w:val="single"/>
              </w:rPr>
              <w:t>IMPORTANTE</w:t>
            </w:r>
          </w:p>
          <w:p w:rsidR="000703E3" w:rsidRDefault="001F6939">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0703E3" w:rsidRDefault="000703E3">
            <w:pPr>
              <w:jc w:val="both"/>
              <w:rPr>
                <w:rFonts w:ascii="gobCL" w:eastAsia="gobCL" w:hAnsi="gobCL" w:cs="gobCL"/>
                <w:sz w:val="22"/>
                <w:szCs w:val="22"/>
              </w:rPr>
            </w:pPr>
          </w:p>
          <w:p w:rsidR="000703E3" w:rsidRDefault="001F6939">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rsidR="000703E3" w:rsidRDefault="001F6939">
      <w:pPr>
        <w:spacing w:before="240" w:after="240" w:line="240" w:lineRule="auto"/>
        <w:jc w:val="both"/>
        <w:rPr>
          <w:rFonts w:ascii="gobCL" w:eastAsia="gobCL" w:hAnsi="gobCL" w:cs="gobCL"/>
          <w:b/>
        </w:rPr>
      </w:pPr>
      <w:r>
        <w:rPr>
          <w:rFonts w:ascii="gobCL" w:eastAsia="gobCL" w:hAnsi="gobCL" w:cs="gobCL"/>
          <w:b/>
        </w:rPr>
        <w:t>3.2. Pasos para postular</w:t>
      </w:r>
    </w:p>
    <w:p w:rsidR="000703E3" w:rsidRDefault="001F6939">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0703E3" w:rsidRDefault="001F6939">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0703E3" w:rsidRDefault="001F6939">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0703E3" w:rsidRDefault="001F6939">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0703E3" w:rsidRDefault="001F6939">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0">
        <w:r>
          <w:rPr>
            <w:rFonts w:ascii="gobCL" w:eastAsia="gobCL" w:hAnsi="gobCL" w:cs="gobCL"/>
            <w:color w:val="0563C1"/>
            <w:u w:val="single"/>
          </w:rPr>
          <w:t>www.sercotec.cl</w:t>
        </w:r>
      </w:hyperlink>
      <w:r>
        <w:rPr>
          <w:rFonts w:ascii="gobCL" w:eastAsia="gobCL" w:hAnsi="gobCL" w:cs="gobCL"/>
        </w:rPr>
        <w:t xml:space="preserve">. </w:t>
      </w:r>
    </w:p>
    <w:p w:rsidR="000703E3" w:rsidRDefault="001F6939">
      <w:pPr>
        <w:spacing w:before="240" w:after="240" w:line="240" w:lineRule="auto"/>
        <w:jc w:val="both"/>
        <w:rPr>
          <w:rFonts w:ascii="gobCL" w:eastAsia="gobCL" w:hAnsi="gobCL" w:cs="gobCL"/>
        </w:rPr>
      </w:pPr>
      <w:r>
        <w:rPr>
          <w:rFonts w:ascii="gobCL" w:eastAsia="gobCL" w:hAnsi="gobCL" w:cs="gobCL"/>
        </w:rPr>
        <w:lastRenderedPageBreak/>
        <w:t>Además, deberá completar un esquema general del plan de inversión, en base a los siguientes ítems (ver detalle en el punto 2.4 de estas Bases):</w:t>
      </w:r>
    </w:p>
    <w:p w:rsidR="000703E3" w:rsidRDefault="001F6939">
      <w:pPr>
        <w:numPr>
          <w:ilvl w:val="1"/>
          <w:numId w:val="14"/>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Capital de Trabajo.</w:t>
      </w:r>
    </w:p>
    <w:p w:rsidR="000703E3" w:rsidRDefault="001F6939">
      <w:pPr>
        <w:numPr>
          <w:ilvl w:val="1"/>
          <w:numId w:val="14"/>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Habilitación de infraestructura (obras menores).</w:t>
      </w:r>
    </w:p>
    <w:p w:rsidR="000703E3" w:rsidRDefault="001F6939">
      <w:pPr>
        <w:numPr>
          <w:ilvl w:val="1"/>
          <w:numId w:val="14"/>
        </w:numPr>
        <w:pBdr>
          <w:top w:val="nil"/>
          <w:left w:val="nil"/>
          <w:bottom w:val="nil"/>
          <w:right w:val="nil"/>
          <w:between w:val="nil"/>
        </w:pBdr>
        <w:spacing w:after="240" w:line="240" w:lineRule="auto"/>
        <w:jc w:val="both"/>
        <w:rPr>
          <w:rFonts w:ascii="gobCL" w:eastAsia="gobCL" w:hAnsi="gobCL" w:cs="gobCL"/>
          <w:color w:val="000000"/>
        </w:rPr>
      </w:pPr>
      <w:r>
        <w:rPr>
          <w:rFonts w:ascii="gobCL" w:eastAsia="gobCL" w:hAnsi="gobCL" w:cs="gobCL"/>
          <w:color w:val="000000"/>
        </w:rPr>
        <w:t>Promoción, publicidad y difusión.</w:t>
      </w:r>
    </w:p>
    <w:p w:rsidR="000703E3" w:rsidRDefault="001F6939">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0703E3" w:rsidRDefault="001F6939">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carpeta tributaria para solicitar créditos completa</w:t>
      </w:r>
      <w:r>
        <w:rPr>
          <w:rFonts w:ascii="gobCL" w:eastAsia="gobCL" w:hAnsi="gobCL" w:cs="gobCL"/>
          <w:color w:val="000000"/>
        </w:rPr>
        <w:t xml:space="preserve">, disponible en </w:t>
      </w:r>
      <w:hyperlink r:id="rId11">
        <w:r>
          <w:rPr>
            <w:rFonts w:ascii="gobCL" w:eastAsia="gobCL" w:hAnsi="gobCL" w:cs="gobCL"/>
            <w:color w:val="0563C1"/>
            <w:u w:val="single"/>
          </w:rPr>
          <w:t>www.sii.cl</w:t>
        </w:r>
      </w:hyperlink>
      <w:r>
        <w:rPr>
          <w:rFonts w:ascii="gobCL" w:eastAsia="gobCL" w:hAnsi="gobCL" w:cs="gobCL"/>
          <w:color w:val="000000"/>
        </w:rPr>
        <w:t xml:space="preserve">. </w:t>
      </w:r>
      <w:r>
        <w:rPr>
          <w:rFonts w:ascii="gobCL" w:eastAsia="gobCL" w:hAnsi="gobCL" w:cs="gobCL"/>
          <w:b/>
          <w:color w:val="000000"/>
        </w:rPr>
        <w:t>Se deberá poner especial atención en que el documento contenga todos los formularios 29 de los períodos requeridos para efectos del cálculo, tanto del nivel de ventas, como para la disminución de éstas</w:t>
      </w:r>
      <w:r>
        <w:rPr>
          <w:rFonts w:ascii="gobCL" w:eastAsia="gobCL" w:hAnsi="gobCL" w:cs="gobCL"/>
          <w:b/>
          <w:color w:val="000000"/>
          <w:vertAlign w:val="superscript"/>
        </w:rPr>
        <w:footnoteReference w:id="8"/>
      </w:r>
      <w:r>
        <w:rPr>
          <w:rFonts w:ascii="gobCL" w:eastAsia="gobCL" w:hAnsi="gobCL" w:cs="gobCL"/>
          <w:color w:val="000000"/>
        </w:rPr>
        <w:t xml:space="preserve">. Este documento es obligatorio para todas las empresas postulantes. </w:t>
      </w:r>
    </w:p>
    <w:p w:rsidR="000703E3" w:rsidRDefault="001F6939">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Cabe mencionar que NO se aceptará una carpeta tributaria distinta a la “carpeta tributaria para solicitar créditos” que se genera en la página web del SII (Formato PDF). En caso de adjuntar una carpeta tributaria distinta a la antes señalada, la empresa postulante será declarada inadmisible. Por su parte, la carpeta tributaria sólo será válida, si el RUT emisor es el mismo que el RUT de la empresa postulante. </w:t>
      </w:r>
    </w:p>
    <w:p w:rsidR="000703E3" w:rsidRDefault="000703E3">
      <w:pPr>
        <w:pBdr>
          <w:top w:val="nil"/>
          <w:left w:val="nil"/>
          <w:bottom w:val="nil"/>
          <w:right w:val="nil"/>
          <w:between w:val="nil"/>
        </w:pBdr>
        <w:spacing w:after="0" w:line="240" w:lineRule="auto"/>
        <w:jc w:val="both"/>
        <w:rPr>
          <w:rFonts w:ascii="gobCL" w:eastAsia="gobCL" w:hAnsi="gobCL" w:cs="gobCL"/>
        </w:rPr>
      </w:pPr>
    </w:p>
    <w:p w:rsidR="000703E3" w:rsidRDefault="001F6939">
      <w:pPr>
        <w:pBdr>
          <w:top w:val="nil"/>
          <w:left w:val="nil"/>
          <w:bottom w:val="nil"/>
          <w:right w:val="nil"/>
          <w:between w:val="nil"/>
        </w:pBdr>
        <w:spacing w:after="0" w:line="240" w:lineRule="auto"/>
        <w:jc w:val="both"/>
        <w:rPr>
          <w:rFonts w:ascii="gobCL" w:eastAsia="gobCL" w:hAnsi="gobCL" w:cs="gobCL"/>
        </w:rPr>
      </w:pPr>
      <w:r>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0703E3" w:rsidRDefault="001F6939">
      <w:pPr>
        <w:spacing w:before="240" w:after="240" w:line="240" w:lineRule="auto"/>
        <w:jc w:val="both"/>
        <w:rPr>
          <w:rFonts w:ascii="gobCL" w:eastAsia="gobCL" w:hAnsi="gobCL" w:cs="gobCL"/>
          <w:b/>
        </w:rPr>
      </w:pPr>
      <w:r>
        <w:rPr>
          <w:rFonts w:ascii="gobCL" w:eastAsia="gobCL" w:hAnsi="gobCL" w:cs="gobCL"/>
          <w:b/>
        </w:rPr>
        <w:t>3.3. Apoyo en el proceso de postulación.</w:t>
      </w:r>
    </w:p>
    <w:p w:rsidR="000703E3" w:rsidRDefault="001F6939">
      <w:pPr>
        <w:spacing w:before="240" w:after="240" w:line="240" w:lineRule="auto"/>
        <w:jc w:val="both"/>
        <w:rPr>
          <w:rFonts w:ascii="gobCL" w:eastAsia="gobCL" w:hAnsi="gobCL" w:cs="gobCL"/>
          <w:b/>
        </w:rPr>
      </w:pPr>
      <w:r>
        <w:rPr>
          <w:rFonts w:ascii="gobCL" w:eastAsia="gobCL" w:hAnsi="gobCL" w:cs="gobCL"/>
        </w:rPr>
        <w:t xml:space="preserve">Para que las personas interesadas realicen consultas, Sercotec dispondrá de un Agente Operador. Para esta convocatoria, el Agente asignado es: Donoso y Bouillet Consultores Ltda-, teléfonos +56 9 58582292, correo electrónico </w:t>
      </w:r>
      <w:hyperlink r:id="rId12">
        <w:r>
          <w:rPr>
            <w:rFonts w:ascii="gobCL" w:eastAsia="gobCL" w:hAnsi="gobCL" w:cs="gobCL"/>
            <w:color w:val="0000FF"/>
            <w:u w:val="single"/>
          </w:rPr>
          <w:t>choy@territoriaconsultores.cl</w:t>
        </w:r>
      </w:hyperlink>
      <w:r>
        <w:rPr>
          <w:rFonts w:ascii="gobCL" w:eastAsia="gobCL" w:hAnsi="gobCL" w:cs="gobCL"/>
        </w:rPr>
        <w:t xml:space="preserve">. Además, puede pedir orientación a los Puntos Mipe, por teléfono, o bien, ingresando a </w:t>
      </w:r>
      <w:hyperlink r:id="rId13">
        <w:r>
          <w:rPr>
            <w:rFonts w:ascii="gobCL" w:eastAsia="gobCL" w:hAnsi="gobCL" w:cs="gobCL"/>
            <w:color w:val="0000FF"/>
            <w:u w:val="single"/>
          </w:rPr>
          <w:t>www.sercotec.cl</w:t>
        </w:r>
      </w:hyperlink>
      <w:r>
        <w:rPr>
          <w:rFonts w:ascii="gobCL" w:eastAsia="gobCL" w:hAnsi="gobCL" w:cs="gobCL"/>
        </w:rPr>
        <w:t>.</w:t>
      </w:r>
      <w:r>
        <w:rPr>
          <w:rFonts w:ascii="gobCL" w:eastAsia="gobCL" w:hAnsi="gobCL" w:cs="gobCL"/>
          <w:b/>
        </w:rPr>
        <w:t xml:space="preserve"> </w:t>
      </w:r>
    </w:p>
    <w:p w:rsidR="000703E3" w:rsidRDefault="001F6939">
      <w:pPr>
        <w:spacing w:before="240" w:after="240" w:line="240" w:lineRule="auto"/>
        <w:jc w:val="both"/>
        <w:rPr>
          <w:rFonts w:ascii="gobCL" w:eastAsia="gobCL" w:hAnsi="gobCL" w:cs="gobCL"/>
          <w:b/>
        </w:rPr>
      </w:pPr>
      <w:r>
        <w:rPr>
          <w:rFonts w:ascii="gobCL" w:eastAsia="gobCL" w:hAnsi="gobCL" w:cs="gobCL"/>
          <w:b/>
        </w:rPr>
        <w:t>4. Evaluación y Selección</w:t>
      </w:r>
    </w:p>
    <w:p w:rsidR="000703E3" w:rsidRDefault="001F6939">
      <w:pPr>
        <w:spacing w:before="240" w:after="240" w:line="240" w:lineRule="auto"/>
        <w:jc w:val="both"/>
        <w:rPr>
          <w:rFonts w:ascii="gobCL" w:eastAsia="gobCL" w:hAnsi="gobCL" w:cs="gobCL"/>
        </w:rPr>
      </w:pPr>
      <w:r>
        <w:rPr>
          <w:rFonts w:ascii="gobCL" w:eastAsia="gobCL" w:hAnsi="gobCL" w:cs="gobCL"/>
        </w:rPr>
        <w:t>Las postulaciones admisibles serán evaluadas en relación al porcentaje de disminución de ventas. Así, quienes obtengan mayor puntaje, serán aquellas empresas que hayan disminuido en mayor medida sus ventas. Además, tendrán un punto extra, aquellas empresas que se encuentren en el Registro Nacional de Prestadores de Servicios Turísticos de SERNATUR al 2 de julio de 2020.</w:t>
      </w:r>
    </w:p>
    <w:p w:rsidR="000703E3" w:rsidRDefault="001F6939">
      <w:pPr>
        <w:spacing w:before="240" w:after="240" w:line="240" w:lineRule="auto"/>
        <w:jc w:val="both"/>
        <w:rPr>
          <w:rFonts w:ascii="gobCL" w:eastAsia="gobCL" w:hAnsi="gobCL" w:cs="gobCL"/>
          <w:b/>
        </w:rPr>
      </w:pPr>
      <w:r>
        <w:rPr>
          <w:rFonts w:ascii="gobCL" w:eastAsia="gobCL" w:hAnsi="gobCL" w:cs="gobCL"/>
          <w:b/>
        </w:rPr>
        <w:t>4.1. Evaluación de admisibilidad automática y manual</w:t>
      </w:r>
    </w:p>
    <w:p w:rsidR="000703E3" w:rsidRDefault="001F6939">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Requisitos de admisibilidad, será realizada automática y/o manualmente a través de la plataforma de postulación, lo que determinará quienes podrán enviar el formulario de postulación.</w:t>
      </w:r>
    </w:p>
    <w:p w:rsidR="000703E3" w:rsidRDefault="001F6939">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AOS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0703E3" w:rsidRDefault="001F6939">
      <w:pPr>
        <w:spacing w:before="240" w:after="240" w:line="240" w:lineRule="auto"/>
        <w:jc w:val="both"/>
        <w:rPr>
          <w:rFonts w:ascii="gobCL" w:eastAsia="gobCL" w:hAnsi="gobCL" w:cs="gobCL"/>
          <w:b/>
        </w:rPr>
      </w:pPr>
      <w:r>
        <w:rPr>
          <w:rFonts w:ascii="gobCL" w:eastAsia="gobCL" w:hAnsi="gobCL" w:cs="gobCL"/>
          <w:b/>
        </w:rPr>
        <w:t>4.2. Cálculo de puntaje.</w:t>
      </w:r>
    </w:p>
    <w:p w:rsidR="000703E3" w:rsidRDefault="001F6939">
      <w:pPr>
        <w:spacing w:before="240" w:after="240" w:line="240" w:lineRule="auto"/>
        <w:jc w:val="both"/>
        <w:rPr>
          <w:rFonts w:ascii="gobCL" w:eastAsia="gobCL" w:hAnsi="gobCL" w:cs="gobCL"/>
        </w:rPr>
      </w:pPr>
      <w:r>
        <w:rPr>
          <w:rFonts w:ascii="gobCL" w:eastAsia="gobCL" w:hAnsi="gobCL" w:cs="gobCL"/>
        </w:rPr>
        <w:t>Una vez recibidas las postulaciones, el sistema “Revisión Reactívate” o en su defecto el Agente Operador asignado, calculará las ventas de la empresa a partir de la información contenida en las carpetas tributarias, con el fin de identificar el porcentaje de variación de las ventas, comparando las ventas:</w:t>
      </w:r>
    </w:p>
    <w:p w:rsidR="000703E3" w:rsidRDefault="000B7B1F">
      <w:pPr>
        <w:spacing w:before="240" w:after="240" w:line="240" w:lineRule="auto"/>
        <w:jc w:val="both"/>
        <w:rPr>
          <w:rFonts w:ascii="gobCL" w:eastAsia="gobCL" w:hAnsi="gobCL" w:cs="gobCL"/>
        </w:rPr>
      </w:pPr>
      <w:r>
        <w:rPr>
          <w:rFonts w:ascii="gobCL" w:eastAsia="gobCL" w:hAnsi="gobCL" w:cs="gobCL"/>
        </w:rPr>
        <w:t>Total,</w:t>
      </w:r>
      <w:r w:rsidR="001F6939">
        <w:rPr>
          <w:rFonts w:ascii="gobCL" w:eastAsia="gobCL" w:hAnsi="gobCL" w:cs="gobCL"/>
        </w:rPr>
        <w:t xml:space="preserve"> de ventas del período 1 (marzo – abril - mayo 2019) con el total de ventas del período 2 (marzo – abril – mayo 2020). Fórmula de cálculo:</w:t>
      </w:r>
    </w:p>
    <w:p w:rsidR="000703E3" w:rsidRDefault="001F6939">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0703E3" w:rsidRDefault="001F6939">
      <w:pPr>
        <w:spacing w:before="240" w:after="240" w:line="240" w:lineRule="auto"/>
        <w:jc w:val="both"/>
        <w:rPr>
          <w:rFonts w:ascii="gobCL" w:eastAsia="gobCL" w:hAnsi="gobCL" w:cs="gobCL"/>
          <w:b/>
        </w:rPr>
      </w:pPr>
      <w:r>
        <w:rPr>
          <w:rFonts w:ascii="gobCL" w:eastAsia="gobCL" w:hAnsi="gobCL" w:cs="gobCL"/>
          <w:b/>
        </w:rPr>
        <w:t>Además, se agregará un (1) punto adicional a aquellas empresas que se encuentren en el Registro Nacional de Prestadores de Servicios Turísticos de SERNATUR al 2 de julio de 2020, información que será provista por dicho servicio.</w:t>
      </w:r>
    </w:p>
    <w:p w:rsidR="000703E3" w:rsidRDefault="001F693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0703E3" w:rsidRDefault="001F6939">
      <w:pPr>
        <w:spacing w:before="240" w:after="240" w:line="240" w:lineRule="auto"/>
        <w:jc w:val="both"/>
        <w:rPr>
          <w:rFonts w:ascii="gobCL" w:eastAsia="gobCL" w:hAnsi="gobCL" w:cs="gobCL"/>
          <w:b/>
        </w:rPr>
      </w:pPr>
      <w:r>
        <w:rPr>
          <w:rFonts w:ascii="gobCL" w:eastAsia="gobCL" w:hAnsi="gobCL" w:cs="gobCL"/>
          <w:b/>
        </w:rPr>
        <w:t>4.3. Selección de beneficiarios/as</w:t>
      </w:r>
    </w:p>
    <w:p w:rsidR="000703E3" w:rsidRDefault="001F6939">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0703E3" w:rsidRDefault="001F6939">
      <w:pPr>
        <w:shd w:val="clear" w:color="auto" w:fill="FFFFFF"/>
        <w:spacing w:before="240" w:after="240" w:line="240" w:lineRule="auto"/>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9"/>
      </w:r>
      <w:r>
        <w:rPr>
          <w:rFonts w:ascii="gobCL" w:eastAsia="gobCL" w:hAnsi="gobCL" w:cs="gobCL"/>
        </w:rPr>
        <w:t>.</w:t>
      </w:r>
    </w:p>
    <w:p w:rsidR="000703E3" w:rsidRDefault="001F6939">
      <w:pPr>
        <w:shd w:val="clear" w:color="auto" w:fill="FFFFFF"/>
        <w:spacing w:before="240" w:after="240" w:line="240" w:lineRule="auto"/>
        <w:jc w:val="both"/>
        <w:rPr>
          <w:rFonts w:ascii="gobCL" w:eastAsia="gobCL" w:hAnsi="gobCL" w:cs="gobCL"/>
        </w:rPr>
      </w:pPr>
      <w:r>
        <w:rPr>
          <w:rFonts w:ascii="gobCL" w:eastAsia="gobCL" w:hAnsi="gobCL" w:cs="gobCL"/>
        </w:rPr>
        <w:t>En consideración de lo anterior, para el caso de esta convocatoria. el número de empresas que podrán ser seleccionadas en pri</w:t>
      </w:r>
      <w:r w:rsidRPr="00BB13B2">
        <w:rPr>
          <w:rFonts w:ascii="gobCL" w:eastAsia="gobCL" w:hAnsi="gobCL" w:cs="gobCL"/>
        </w:rPr>
        <w:t xml:space="preserve">mera instancia es de </w:t>
      </w:r>
      <w:r w:rsidR="00716222">
        <w:rPr>
          <w:rFonts w:ascii="gobCL" w:eastAsia="gobCL" w:hAnsi="gobCL" w:cs="gobCL"/>
        </w:rPr>
        <w:t>351</w:t>
      </w:r>
      <w:r w:rsidRPr="00BB13B2">
        <w:rPr>
          <w:rFonts w:ascii="gobCL" w:eastAsia="gobCL" w:hAnsi="gobCL" w:cs="gobCL"/>
          <w:b/>
        </w:rPr>
        <w:t xml:space="preserve"> (</w:t>
      </w:r>
      <w:r w:rsidR="00716222">
        <w:rPr>
          <w:rFonts w:ascii="gobCL" w:eastAsia="gobCL" w:hAnsi="gobCL" w:cs="gobCL"/>
          <w:b/>
        </w:rPr>
        <w:t>trecientos cincuenta y uno</w:t>
      </w:r>
      <w:r w:rsidRPr="00BB13B2">
        <w:rPr>
          <w:rFonts w:ascii="gobCL" w:eastAsia="gobCL" w:hAnsi="gobCL" w:cs="gobCL"/>
          <w:b/>
        </w:rPr>
        <w:t>)</w:t>
      </w:r>
      <w:r w:rsidRPr="00BB13B2">
        <w:rPr>
          <w:rFonts w:ascii="gobCL" w:eastAsia="gobCL" w:hAnsi="gobCL" w:cs="gobCL"/>
        </w:rPr>
        <w:t>.</w:t>
      </w:r>
      <w:r>
        <w:rPr>
          <w:rFonts w:ascii="gobCL" w:eastAsia="gobCL" w:hAnsi="gobCL" w:cs="gobCL"/>
        </w:rPr>
        <w:t xml:space="preserve"> No obstante, lo anterior, en caso de existir saldos en el monto total de subsidio planificado, Sercotec, procederá a selecci</w:t>
      </w:r>
      <w:r w:rsidR="00BB13B2">
        <w:rPr>
          <w:rFonts w:ascii="gobCL" w:eastAsia="gobCL" w:hAnsi="gobCL" w:cs="gobCL"/>
        </w:rPr>
        <w:t>onar a aquellas empresas que ha1</w:t>
      </w:r>
      <w:r>
        <w:rPr>
          <w:rFonts w:ascii="gobCL" w:eastAsia="gobCL" w:hAnsi="gobCL" w:cs="gobCL"/>
        </w:rPr>
        <w:t>an quedado en lista de espera, aplicándose el criterio de orden de prelación para estos efectos.</w:t>
      </w:r>
    </w:p>
    <w:p w:rsidR="000703E3" w:rsidRDefault="001F6939">
      <w:pPr>
        <w:spacing w:before="240" w:after="240" w:line="240" w:lineRule="auto"/>
        <w:jc w:val="both"/>
        <w:rPr>
          <w:rFonts w:ascii="gobCL" w:eastAsia="gobCL" w:hAnsi="gobCL" w:cs="gobCL"/>
        </w:rPr>
      </w:pPr>
      <w:r>
        <w:rPr>
          <w:rFonts w:ascii="gobCL" w:eastAsia="gobCL" w:hAnsi="gobCL" w:cs="gobCL"/>
        </w:rPr>
        <w:t xml:space="preserve">Asimismo, se aplicará el criterio de orden de prelación, en aquellos casos en que un seleccionado/a renuncie al subsidio, incumpla algún requisito establecido en bases de convocatoria o se encuentre en otra situación calificada por Sercotec, que no permita materializar la entrega del subsidio. </w:t>
      </w:r>
    </w:p>
    <w:p w:rsidR="000703E3" w:rsidRDefault="001F6939">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d"/>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trPr>
          <w:jc w:val="center"/>
        </w:trPr>
        <w:tc>
          <w:tcPr>
            <w:tcW w:w="8907" w:type="dxa"/>
            <w:shd w:val="clear" w:color="auto" w:fill="D9D9D9"/>
            <w:tcMar>
              <w:top w:w="57" w:type="dxa"/>
              <w:bottom w:w="57" w:type="dxa"/>
            </w:tcMar>
          </w:tcPr>
          <w:p w:rsidR="000703E3" w:rsidRDefault="001F6939">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rsidR="000703E3" w:rsidRDefault="001F6939">
            <w:pPr>
              <w:jc w:val="both"/>
              <w:rPr>
                <w:rFonts w:ascii="gobCL" w:eastAsia="gobCL" w:hAnsi="gobCL" w:cs="gobCL"/>
              </w:rPr>
            </w:pP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0703E3" w:rsidRDefault="001F6939">
      <w:pPr>
        <w:spacing w:before="240" w:after="240" w:line="240" w:lineRule="auto"/>
        <w:jc w:val="both"/>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0703E3" w:rsidRDefault="001F6939">
      <w:pPr>
        <w:spacing w:before="240" w:after="240" w:line="240" w:lineRule="auto"/>
        <w:jc w:val="both"/>
        <w:rPr>
          <w:rFonts w:ascii="gobCL" w:eastAsia="gobCL" w:hAnsi="gobCL" w:cs="gobCL"/>
          <w:b/>
        </w:rPr>
      </w:pPr>
      <w:r>
        <w:rPr>
          <w:rFonts w:ascii="gobCL" w:eastAsia="gobCL" w:hAnsi="gobCL" w:cs="gobCL"/>
          <w:b/>
        </w:rPr>
        <w:t>5. Formalización</w:t>
      </w:r>
    </w:p>
    <w:p w:rsidR="000703E3" w:rsidRDefault="001F6939">
      <w:pPr>
        <w:spacing w:before="240" w:after="240" w:line="240" w:lineRule="auto"/>
        <w:jc w:val="both"/>
        <w:rPr>
          <w:rFonts w:ascii="gobCL" w:eastAsia="gobCL" w:hAnsi="gobCL" w:cs="gobCL"/>
        </w:rPr>
      </w:pPr>
      <w:r>
        <w:rPr>
          <w:rFonts w:ascii="gobCL" w:eastAsia="gobCL" w:hAnsi="gobCL" w:cs="gobCL"/>
        </w:rPr>
        <w:t>Previo a la firma del contrato, si corresponde, los empresarios/as deben acompañar verificadores de los requisitos de formalización descritos en el punto 2.1.2 Requisitos de Formalización, de éstas Bases de Convocatoria. La firma del contrato deberá ser en un plazo máximo de 5 días hábiles administrativos, contados desde la fecha de la notificación que se efectúe a través del sistema de evaluación. Junto con la notificación antes señalada, el AOS deberá tomar contacto dentro de las 24 horas siguientes con las empresas seleccionados/as, para informar respecto de los pasos a seguir.</w:t>
      </w:r>
    </w:p>
    <w:p w:rsidR="000703E3" w:rsidRDefault="001F6939">
      <w:pPr>
        <w:spacing w:before="240" w:after="240" w:line="240" w:lineRule="auto"/>
        <w:jc w:val="both"/>
        <w:rPr>
          <w:rFonts w:ascii="gobCL" w:eastAsia="gobCL" w:hAnsi="gobCL" w:cs="gobCL"/>
        </w:rPr>
      </w:pPr>
      <w:r>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la firma de contrato para ejecutar su proyecto.</w:t>
      </w:r>
    </w:p>
    <w:p w:rsidR="000703E3" w:rsidRDefault="001F6939">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 contrato, debe quedar reflejado el monto del subsidio Sercotec.</w:t>
      </w:r>
    </w:p>
    <w:p w:rsidR="000703E3" w:rsidRDefault="001F6939">
      <w:pPr>
        <w:spacing w:before="240" w:after="240" w:line="240" w:lineRule="auto"/>
        <w:jc w:val="both"/>
        <w:rPr>
          <w:rFonts w:ascii="gobCL" w:eastAsia="gobCL" w:hAnsi="gobCL" w:cs="gobCL"/>
        </w:rPr>
      </w:pPr>
      <w:r>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trPr>
          <w:jc w:val="center"/>
        </w:trPr>
        <w:tc>
          <w:tcPr>
            <w:tcW w:w="8907" w:type="dxa"/>
            <w:shd w:val="clear" w:color="auto" w:fill="D9D9D9"/>
            <w:tcMar>
              <w:top w:w="57" w:type="dxa"/>
              <w:bottom w:w="57" w:type="dxa"/>
            </w:tcMar>
          </w:tcPr>
          <w:p w:rsidR="000703E3" w:rsidRDefault="001F6939">
            <w:pPr>
              <w:jc w:val="both"/>
              <w:rPr>
                <w:rFonts w:ascii="gobCL" w:eastAsia="gobCL" w:hAnsi="gobCL" w:cs="gobCL"/>
                <w:b/>
                <w:sz w:val="22"/>
                <w:szCs w:val="22"/>
                <w:u w:val="single"/>
              </w:rPr>
            </w:pPr>
            <w:r>
              <w:rPr>
                <w:rFonts w:ascii="gobCL" w:eastAsia="gobCL" w:hAnsi="gobCL" w:cs="gobCL"/>
                <w:b/>
                <w:sz w:val="22"/>
                <w:szCs w:val="22"/>
                <w:u w:val="single"/>
              </w:rPr>
              <w:t>IMPORTANTE:</w:t>
            </w:r>
          </w:p>
          <w:p w:rsidR="000703E3" w:rsidRDefault="001F6939">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0703E3" w:rsidRDefault="001F6939">
      <w:pPr>
        <w:spacing w:before="240" w:after="240" w:line="240" w:lineRule="auto"/>
        <w:jc w:val="both"/>
        <w:rPr>
          <w:rFonts w:ascii="gobCL" w:eastAsia="gobCL" w:hAnsi="gobCL" w:cs="gobCL"/>
        </w:rPr>
      </w:pPr>
      <w:r>
        <w:rPr>
          <w:rFonts w:ascii="gobCL" w:eastAsia="gobCL" w:hAnsi="gobCL" w:cs="gobCL"/>
        </w:rPr>
        <w:t xml:space="preserve">Los días hábiles administrativos excluyen los días sábados, domingos y festivos. </w:t>
      </w:r>
    </w:p>
    <w:p w:rsidR="000703E3" w:rsidRDefault="001F6939">
      <w:pPr>
        <w:spacing w:before="240" w:after="240" w:line="240" w:lineRule="auto"/>
        <w:jc w:val="both"/>
        <w:rPr>
          <w:rFonts w:ascii="gobCL" w:eastAsia="gobCL" w:hAnsi="gobCL" w:cs="gobCL"/>
          <w:b/>
        </w:rPr>
      </w:pPr>
      <w:r>
        <w:rPr>
          <w:rFonts w:ascii="gobCL" w:eastAsia="gobCL" w:hAnsi="gobCL" w:cs="gobCL"/>
          <w:b/>
        </w:rPr>
        <w:t>6. Implementación del Plan de Inversión</w:t>
      </w:r>
    </w:p>
    <w:p w:rsidR="000703E3" w:rsidRDefault="001F6939">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rsidR="000703E3" w:rsidRDefault="001F6939">
      <w:pPr>
        <w:spacing w:before="240" w:after="240"/>
        <w:jc w:val="both"/>
        <w:rPr>
          <w:rFonts w:ascii="gobCL" w:eastAsia="gobCL" w:hAnsi="gobCL" w:cs="gobCL"/>
        </w:rPr>
      </w:pPr>
      <w:r>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rsidR="000703E3" w:rsidRDefault="001F6939">
      <w:pPr>
        <w:spacing w:before="240" w:after="240"/>
        <w:jc w:val="both"/>
        <w:rPr>
          <w:rFonts w:ascii="gobCL" w:eastAsia="gobCL" w:hAnsi="gobCL" w:cs="gobCL"/>
        </w:rPr>
      </w:pPr>
      <w:r>
        <w:rPr>
          <w:rFonts w:ascii="gobCL" w:eastAsia="gobCL" w:hAnsi="gobCL" w:cs="gobCL"/>
        </w:rPr>
        <w:t xml:space="preserve">En el caso de que la empresa beneficiaria no forme parte del Registro Nacional de Prestadores de Servicios Turísticos de SERNATUR, durante la implementación del Plan de Inversión, tendrá que iniciar y concretar el proceso para ser parte de dicho registro. </w:t>
      </w:r>
    </w:p>
    <w:p w:rsidR="000703E3" w:rsidRDefault="001F6939">
      <w:pPr>
        <w:spacing w:before="240" w:after="240"/>
        <w:jc w:val="both"/>
        <w:rPr>
          <w:rFonts w:ascii="gobCL" w:eastAsia="gobCL" w:hAnsi="gobCL" w:cs="gobCL"/>
        </w:rPr>
      </w:pPr>
      <w:r>
        <w:rPr>
          <w:rFonts w:ascii="gobCL" w:eastAsia="gobCL" w:hAnsi="gobCL" w:cs="gobCL"/>
        </w:rPr>
        <w:t xml:space="preserve">Para lo anterior, deberá iniciar su proceso de registro en </w:t>
      </w:r>
      <w:hyperlink r:id="rId14">
        <w:r>
          <w:rPr>
            <w:rFonts w:ascii="gobCL" w:eastAsia="gobCL" w:hAnsi="gobCL" w:cs="gobCL"/>
            <w:color w:val="0000FF"/>
            <w:u w:val="single"/>
          </w:rPr>
          <w:t>http://registro.sernatur.cl</w:t>
        </w:r>
      </w:hyperlink>
      <w:r>
        <w:rPr>
          <w:rFonts w:ascii="gobCL" w:eastAsia="gobCL" w:hAnsi="gobCL" w:cs="gobCL"/>
        </w:rPr>
        <w:t xml:space="preserve"> y contactarse, en caso de cualquier duda, con el ejecutivo a cargo en la Dirección Regional de SERNATUR correspondiente.</w:t>
      </w:r>
    </w:p>
    <w:p w:rsidR="000703E3" w:rsidRDefault="001F6939">
      <w:pPr>
        <w:spacing w:before="240" w:after="240"/>
        <w:jc w:val="both"/>
        <w:rPr>
          <w:rFonts w:ascii="gobCL" w:eastAsia="gobCL" w:hAnsi="gobCL" w:cs="gobCL"/>
        </w:rPr>
      </w:pPr>
      <w:r>
        <w:rPr>
          <w:rFonts w:ascii="gobCL" w:eastAsia="gobCL" w:hAnsi="gobCL" w:cs="gobCL"/>
        </w:rPr>
        <w:t xml:space="preserve"> Las compras podrán realizarse a través de las siguientes modalidades:</w:t>
      </w:r>
    </w:p>
    <w:p w:rsidR="000703E3" w:rsidRDefault="001F6939">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AOS</w:t>
      </w:r>
      <w:r>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0703E3" w:rsidRDefault="000703E3">
      <w:pPr>
        <w:pBdr>
          <w:top w:val="nil"/>
          <w:left w:val="nil"/>
          <w:bottom w:val="nil"/>
          <w:right w:val="nil"/>
          <w:between w:val="nil"/>
        </w:pBdr>
        <w:spacing w:after="0"/>
        <w:ind w:left="426" w:hanging="720"/>
        <w:jc w:val="both"/>
        <w:rPr>
          <w:rFonts w:ascii="gobCL" w:eastAsia="gobCL" w:hAnsi="gobCL" w:cs="gobCL"/>
          <w:color w:val="000000"/>
        </w:rPr>
      </w:pPr>
    </w:p>
    <w:p w:rsidR="000703E3" w:rsidRDefault="001F6939">
      <w:pPr>
        <w:numPr>
          <w:ilvl w:val="0"/>
          <w:numId w:val="1"/>
        </w:numPr>
        <w:pBdr>
          <w:top w:val="nil"/>
          <w:left w:val="nil"/>
          <w:bottom w:val="nil"/>
          <w:right w:val="nil"/>
          <w:between w:val="nil"/>
        </w:pBdr>
        <w:spacing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10 (diez)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rsidR="000703E3" w:rsidRDefault="001F6939">
      <w:pPr>
        <w:spacing w:before="240" w:after="240"/>
        <w:jc w:val="both"/>
        <w:rPr>
          <w:rFonts w:ascii="gobCL" w:eastAsia="gobCL" w:hAnsi="gobCL" w:cs="gobCL"/>
        </w:rPr>
      </w:pPr>
      <w:r>
        <w:rPr>
          <w:rFonts w:ascii="gobCL" w:eastAsia="gobCL" w:hAnsi="gobCL" w:cs="gobCL"/>
          <w:b/>
        </w:rPr>
        <w:t>La implementación del subsidio, y su respectiva rendición, no podrá tener un plazo superior a 2 (dos) meses</w:t>
      </w:r>
      <w:r>
        <w:rPr>
          <w:rFonts w:ascii="gobCL" w:eastAsia="gobCL" w:hAnsi="gobCL" w:cs="gobCL"/>
        </w:rPr>
        <w:t>, contados desde la fecha de firma del contrato. No obstante, excepcionalmente, 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rsidR="000703E3" w:rsidRDefault="001F6939">
      <w:pPr>
        <w:spacing w:before="240" w:after="240"/>
        <w:jc w:val="both"/>
        <w:rPr>
          <w:rFonts w:ascii="gobCL" w:eastAsia="gobCL" w:hAnsi="gobCL" w:cs="gobCL"/>
          <w:b/>
        </w:rPr>
      </w:pPr>
      <w:r>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rsidR="000703E3" w:rsidRDefault="001F6939">
      <w:pPr>
        <w:spacing w:before="240" w:after="240"/>
        <w:jc w:val="both"/>
        <w:rPr>
          <w:rFonts w:ascii="gobCL" w:eastAsia="gobCL" w:hAnsi="gobCL" w:cs="gobCL"/>
        </w:rPr>
      </w:pPr>
      <w:r>
        <w:rPr>
          <w:rFonts w:ascii="gobCL" w:eastAsia="gobCL" w:hAnsi="gobCL" w:cs="gobCL"/>
        </w:rPr>
        <w:t>En el caso que se requiera modificar el Plan de Inversión, esto debe ser solicitado por el beneficiario/a de manera escrita al AOS, antes de la compra del bien y/o servicio modificado o reasignado. El ejecutivo/a de fomento, contraparte de Sercotec, tendrá la facultad de aceptar o rechazar tal petición, lo cual deberá ser informado por escrito.</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0703E3">
        <w:trPr>
          <w:jc w:val="center"/>
        </w:trPr>
        <w:tc>
          <w:tcPr>
            <w:tcW w:w="8907" w:type="dxa"/>
            <w:shd w:val="clear" w:color="auto" w:fill="D9D9D9"/>
            <w:tcMar>
              <w:top w:w="57" w:type="dxa"/>
              <w:bottom w:w="57" w:type="dxa"/>
            </w:tcMar>
          </w:tcPr>
          <w:p w:rsidR="000703E3" w:rsidRDefault="001F6939">
            <w:pPr>
              <w:rPr>
                <w:rFonts w:ascii="gobCL" w:eastAsia="gobCL" w:hAnsi="gobCL" w:cs="gobCL"/>
                <w:b/>
              </w:rPr>
            </w:pPr>
            <w:r>
              <w:rPr>
                <w:rFonts w:ascii="gobCL" w:eastAsia="gobCL" w:hAnsi="gobCL" w:cs="gobCL"/>
                <w:b/>
                <w:u w:val="single"/>
              </w:rPr>
              <w:t>IMPORTANTE</w:t>
            </w:r>
            <w:r>
              <w:rPr>
                <w:rFonts w:ascii="gobCL" w:eastAsia="gobCL" w:hAnsi="gobCL" w:cs="gobCL"/>
                <w:b/>
              </w:rPr>
              <w:t>:</w:t>
            </w:r>
          </w:p>
          <w:p w:rsidR="000703E3" w:rsidRDefault="001F6939">
            <w:pPr>
              <w:jc w:val="both"/>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tc>
      </w:tr>
    </w:tbl>
    <w:p w:rsidR="000703E3" w:rsidRDefault="001F6939">
      <w:pPr>
        <w:tabs>
          <w:tab w:val="left" w:pos="709"/>
        </w:tabs>
        <w:spacing w:before="240" w:after="240"/>
        <w:jc w:val="both"/>
        <w:rPr>
          <w:rFonts w:ascii="gobCL" w:eastAsia="gobCL" w:hAnsi="gobCL" w:cs="gobCL"/>
          <w:b/>
        </w:rPr>
      </w:pPr>
      <w:r>
        <w:rPr>
          <w:rFonts w:ascii="gobCL" w:eastAsia="gobCL" w:hAnsi="gobCL" w:cs="gobCL"/>
          <w:b/>
        </w:rPr>
        <w:t>7. Cierre del programa</w:t>
      </w:r>
    </w:p>
    <w:p w:rsidR="000703E3" w:rsidRDefault="001F6939">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Inversión, en los casos que corresponda, incluidas sus modificaciones; lo cual se refleja en la aprobación por parte de el/la Directora/a Regional del respectivo informe de cierre que deberá ser preparado por el AOS.</w:t>
      </w:r>
    </w:p>
    <w:p w:rsidR="000703E3" w:rsidRDefault="001F6939">
      <w:pPr>
        <w:spacing w:before="240" w:after="240"/>
        <w:jc w:val="both"/>
        <w:rPr>
          <w:rFonts w:ascii="gobCL" w:eastAsia="gobCL" w:hAnsi="gobCL" w:cs="gobCL"/>
          <w:b/>
        </w:rPr>
      </w:pPr>
      <w:r>
        <w:rPr>
          <w:rFonts w:ascii="gobCL" w:eastAsia="gobCL" w:hAnsi="gobCL" w:cs="gobCL"/>
          <w:b/>
        </w:rPr>
        <w:t>8. Término Anticipado del Proyecto</w:t>
      </w:r>
    </w:p>
    <w:p w:rsidR="000703E3" w:rsidRDefault="001F6939">
      <w:pPr>
        <w:spacing w:before="240" w:after="240"/>
        <w:jc w:val="both"/>
        <w:rPr>
          <w:rFonts w:ascii="gobCL" w:eastAsia="gobCL" w:hAnsi="gobCL" w:cs="gobCL"/>
        </w:rPr>
      </w:pPr>
      <w:r>
        <w:rPr>
          <w:rFonts w:ascii="gobCL" w:eastAsia="gobCL" w:hAnsi="gobCL" w:cs="gobCL"/>
        </w:rPr>
        <w:t>Se podrá terminar anticipadamente el contrato suscrito entre el AOS y el beneficiario/a en los siguientes casos:</w:t>
      </w:r>
    </w:p>
    <w:p w:rsidR="000703E3" w:rsidRDefault="001F6939">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proyecto por causas no imputables al beneficiario/a:</w:t>
      </w:r>
    </w:p>
    <w:p w:rsidR="000703E3" w:rsidRDefault="001F6939">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rsidR="000703E3" w:rsidRDefault="001F6939">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rsidR="000703E3" w:rsidRDefault="001F6939">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rsidR="000703E3" w:rsidRDefault="001F6939">
      <w:pPr>
        <w:spacing w:before="240" w:after="240"/>
        <w:jc w:val="both"/>
        <w:rPr>
          <w:rFonts w:ascii="gobCL" w:eastAsia="gobCL" w:hAnsi="gobCL" w:cs="gobCL"/>
        </w:rPr>
      </w:pPr>
      <w:r>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rsidR="000703E3" w:rsidRDefault="001F6939">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proyecto por hecho o acto imputable al beneficiario:</w:t>
      </w:r>
    </w:p>
    <w:p w:rsidR="000703E3" w:rsidRDefault="001F6939">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0703E3" w:rsidRDefault="001F6939">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0703E3" w:rsidRDefault="001F6939">
      <w:pPr>
        <w:numPr>
          <w:ilvl w:val="0"/>
          <w:numId w:val="7"/>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0703E3" w:rsidRDefault="001F6939">
      <w:pPr>
        <w:numPr>
          <w:ilvl w:val="0"/>
          <w:numId w:val="7"/>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Inversiones;</w:t>
      </w:r>
    </w:p>
    <w:p w:rsidR="000703E3" w:rsidRDefault="001F6939">
      <w:pPr>
        <w:numPr>
          <w:ilvl w:val="0"/>
          <w:numId w:val="7"/>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el proyecto;</w:t>
      </w:r>
    </w:p>
    <w:p w:rsidR="000703E3" w:rsidRDefault="001F6939">
      <w:pPr>
        <w:numPr>
          <w:ilvl w:val="0"/>
          <w:numId w:val="7"/>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color w:val="000000"/>
        </w:rPr>
        <w:t>Otras causas imputables a la falta de diligencia del beneficiario/a en el desempeño de sus actividades relacionadas con el Plan de Inversión, calificadas debidamente por Sercotec.</w:t>
      </w:r>
    </w:p>
    <w:p w:rsidR="000703E3" w:rsidRDefault="001F6939">
      <w:pPr>
        <w:numPr>
          <w:ilvl w:val="0"/>
          <w:numId w:val="7"/>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p>
    <w:p w:rsidR="000703E3" w:rsidRDefault="001F6939">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rsidR="000703E3" w:rsidRDefault="001F6939">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rsidR="000703E3" w:rsidRDefault="001F6939">
      <w:pPr>
        <w:spacing w:before="240" w:after="240"/>
        <w:jc w:val="both"/>
        <w:rPr>
          <w:rFonts w:ascii="gobCL" w:eastAsia="gobCL" w:hAnsi="gobCL" w:cs="gobCL"/>
          <w:b/>
        </w:rPr>
      </w:pPr>
      <w:r>
        <w:rPr>
          <w:rFonts w:ascii="gobCL" w:eastAsia="gobCL" w:hAnsi="gobCL" w:cs="gobCL"/>
          <w:b/>
        </w:rPr>
        <w:t>9. Otros</w:t>
      </w:r>
    </w:p>
    <w:p w:rsidR="000703E3" w:rsidRDefault="001F6939">
      <w:pPr>
        <w:spacing w:before="240" w:after="240"/>
        <w:jc w:val="both"/>
        <w:rPr>
          <w:rFonts w:ascii="gobCL" w:eastAsia="gobCL" w:hAnsi="gobCL" w:cs="gobCL"/>
        </w:rPr>
      </w:pPr>
      <w:r>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rsidR="000703E3" w:rsidRDefault="001F6939">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rsidR="000703E3" w:rsidRDefault="001F6939">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rsidR="000703E3" w:rsidRDefault="001F6939">
      <w:pPr>
        <w:spacing w:before="240" w:after="240"/>
        <w:jc w:val="both"/>
        <w:rPr>
          <w:rFonts w:ascii="gobCL" w:eastAsia="gobCL" w:hAnsi="gobCL" w:cs="gobCL"/>
        </w:rPr>
      </w:pPr>
      <w:r>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0703E3" w:rsidRDefault="001F6939">
      <w:pPr>
        <w:spacing w:before="240" w:after="240"/>
        <w:jc w:val="both"/>
        <w:rPr>
          <w:rFonts w:ascii="gobCL" w:eastAsia="gobCL" w:hAnsi="gobCL" w:cs="gobCL"/>
        </w:rPr>
      </w:pPr>
      <w:r>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rsidR="000703E3" w:rsidRDefault="001F6939">
      <w:pPr>
        <w:spacing w:before="240" w:after="240"/>
        <w:jc w:val="both"/>
        <w:rPr>
          <w:rFonts w:ascii="gobCL" w:eastAsia="gobCL" w:hAnsi="gobCL" w:cs="gobCL"/>
        </w:rPr>
      </w:pPr>
      <w:r>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0703E3">
        <w:trPr>
          <w:jc w:val="center"/>
        </w:trPr>
        <w:tc>
          <w:tcPr>
            <w:tcW w:w="8907" w:type="dxa"/>
            <w:shd w:val="clear" w:color="auto" w:fill="D9D9D9"/>
            <w:tcMar>
              <w:top w:w="57" w:type="dxa"/>
              <w:bottom w:w="57" w:type="dxa"/>
            </w:tcMar>
          </w:tcPr>
          <w:p w:rsidR="000703E3" w:rsidRDefault="001F6939">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rsidR="000703E3" w:rsidRDefault="001F6939">
            <w:pPr>
              <w:jc w:val="both"/>
              <w:rPr>
                <w:rFonts w:ascii="gobCL" w:eastAsia="gobCL" w:hAnsi="gobCL" w:cs="gobCL"/>
                <w:sz w:val="22"/>
                <w:szCs w:val="22"/>
              </w:rPr>
            </w:pP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rsidR="000703E3" w:rsidRDefault="000703E3">
      <w:pPr>
        <w:jc w:val="center"/>
        <w:rPr>
          <w:rFonts w:ascii="gobCL" w:eastAsia="gobCL" w:hAnsi="gobCL" w:cs="gobCL"/>
          <w:b/>
          <w:sz w:val="20"/>
          <w:szCs w:val="20"/>
        </w:rPr>
      </w:pPr>
    </w:p>
    <w:p w:rsidR="000703E3" w:rsidRDefault="001F6939">
      <w:pPr>
        <w:rPr>
          <w:rFonts w:ascii="gobCL" w:eastAsia="gobCL" w:hAnsi="gobCL" w:cs="gobCL"/>
          <w:b/>
          <w:sz w:val="20"/>
          <w:szCs w:val="20"/>
        </w:rPr>
      </w:pPr>
      <w:r>
        <w:br w:type="page"/>
      </w:r>
    </w:p>
    <w:p w:rsidR="000703E3" w:rsidRDefault="001F6939">
      <w:pPr>
        <w:jc w:val="center"/>
        <w:rPr>
          <w:rFonts w:ascii="gobCL" w:eastAsia="gobCL" w:hAnsi="gobCL" w:cs="gobCL"/>
          <w:b/>
          <w:sz w:val="20"/>
          <w:szCs w:val="20"/>
        </w:rPr>
      </w:pPr>
      <w:r>
        <w:rPr>
          <w:rFonts w:ascii="gobCL" w:eastAsia="gobCL" w:hAnsi="gobCL" w:cs="gobCL"/>
          <w:b/>
          <w:sz w:val="20"/>
          <w:szCs w:val="20"/>
        </w:rPr>
        <w:t>ANEXO N°1</w:t>
      </w:r>
    </w:p>
    <w:p w:rsidR="000703E3" w:rsidRDefault="001F6939">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0703E3" w:rsidRDefault="001F6939">
      <w:pPr>
        <w:jc w:val="both"/>
        <w:rPr>
          <w:rFonts w:ascii="gobCL" w:eastAsia="gobCL" w:hAnsi="gobCL" w:cs="gobCL"/>
          <w:b/>
          <w:color w:val="000000"/>
          <w:sz w:val="20"/>
          <w:szCs w:val="20"/>
        </w:rPr>
      </w:pPr>
      <w:r>
        <w:rPr>
          <w:rFonts w:ascii="gobCL" w:eastAsia="gobCL" w:hAnsi="gobCL" w:cs="gobCL"/>
          <w:b/>
          <w:color w:val="000000"/>
          <w:sz w:val="20"/>
          <w:szCs w:val="20"/>
        </w:rPr>
        <w:t>Admisibilidad automática</w:t>
      </w: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tc>
          <w:tcPr>
            <w:tcW w:w="4531" w:type="dxa"/>
            <w:shd w:val="clear" w:color="auto" w:fill="D9D9D9"/>
          </w:tcPr>
          <w:p w:rsidR="000703E3" w:rsidRDefault="001F6939">
            <w:pPr>
              <w:jc w:val="center"/>
              <w:rPr>
                <w:rFonts w:ascii="gobCL" w:eastAsia="gobCL" w:hAnsi="gobCL" w:cs="gobCL"/>
                <w:b/>
              </w:rPr>
            </w:pPr>
            <w:r>
              <w:rPr>
                <w:rFonts w:ascii="gobCL" w:eastAsia="gobCL" w:hAnsi="gobCL" w:cs="gobCL"/>
                <w:b/>
              </w:rPr>
              <w:t>Requisito</w:t>
            </w:r>
          </w:p>
        </w:tc>
        <w:tc>
          <w:tcPr>
            <w:tcW w:w="4297" w:type="dxa"/>
            <w:shd w:val="clear" w:color="auto" w:fill="D9D9D9"/>
          </w:tcPr>
          <w:p w:rsidR="000703E3" w:rsidRDefault="001F6939">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0703E3">
        <w:tc>
          <w:tcPr>
            <w:tcW w:w="4531" w:type="dxa"/>
          </w:tcPr>
          <w:p w:rsidR="000703E3" w:rsidRDefault="001F6939">
            <w:pPr>
              <w:jc w:val="both"/>
              <w:rPr>
                <w:rFonts w:ascii="gobCL" w:eastAsia="gobCL" w:hAnsi="gobCL" w:cs="gobCL"/>
              </w:rPr>
            </w:pPr>
            <w:r>
              <w:rPr>
                <w:rFonts w:ascii="gobCL" w:eastAsia="gobCL" w:hAnsi="gobCL" w:cs="gobCL"/>
              </w:rPr>
              <w:t xml:space="preserve">Ser persona natural y/o jurídica con iniciación de actividades en primera categoría ante el Servicio de Impuestos Internos (SII) </w:t>
            </w:r>
            <w:r>
              <w:rPr>
                <w:rFonts w:ascii="gobCL" w:eastAsia="gobCL" w:hAnsi="gobCL" w:cs="gobCL"/>
                <w:b/>
              </w:rPr>
              <w:t>hasta el 28 de febrero de 2019 y estar vigente a la fecha de inicio de la convocatoria.</w:t>
            </w:r>
            <w:r>
              <w:rPr>
                <w:rFonts w:ascii="gobCL" w:eastAsia="gobCL" w:hAnsi="gobCL" w:cs="gobCL"/>
              </w:rPr>
              <w:t xml:space="preserve"> </w:t>
            </w:r>
          </w:p>
          <w:p w:rsidR="000703E3" w:rsidRDefault="000703E3">
            <w:pPr>
              <w:jc w:val="both"/>
              <w:rPr>
                <w:rFonts w:ascii="gobCL" w:eastAsia="gobCL" w:hAnsi="gobCL" w:cs="gobCL"/>
              </w:rPr>
            </w:pPr>
          </w:p>
        </w:tc>
        <w:tc>
          <w:tcPr>
            <w:tcW w:w="4297" w:type="dxa"/>
          </w:tcPr>
          <w:p w:rsidR="000703E3" w:rsidRDefault="001F6939">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0703E3">
        <w:tc>
          <w:tcPr>
            <w:tcW w:w="4531" w:type="dxa"/>
          </w:tcPr>
          <w:p w:rsidR="000703E3" w:rsidRDefault="001F6939">
            <w:pPr>
              <w:jc w:val="both"/>
              <w:rPr>
                <w:rFonts w:ascii="gobCL" w:eastAsia="gobCL" w:hAnsi="gobCL" w:cs="gobCL"/>
              </w:rPr>
            </w:pPr>
            <w:r>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rsidR="000703E3" w:rsidRDefault="001F6939">
            <w:pPr>
              <w:jc w:val="both"/>
              <w:rPr>
                <w:rFonts w:ascii="gobCL" w:eastAsia="gobCL" w:hAnsi="gobCL" w:cs="gobCL"/>
              </w:rPr>
            </w:pPr>
            <w:r>
              <w:rPr>
                <w:rFonts w:ascii="gobCL" w:eastAsia="gobCL" w:hAnsi="gobCL" w:cs="gobCL"/>
              </w:rPr>
              <w:t>Requisito validado por Sercotec para el RUT de la empresa postulante.</w:t>
            </w:r>
          </w:p>
        </w:tc>
      </w:tr>
      <w:tr w:rsidR="000703E3">
        <w:tc>
          <w:tcPr>
            <w:tcW w:w="4531" w:type="dxa"/>
          </w:tcPr>
          <w:p w:rsidR="000703E3" w:rsidRDefault="001F6939">
            <w:pPr>
              <w:jc w:val="both"/>
              <w:rPr>
                <w:rFonts w:ascii="gobCL" w:eastAsia="gobCL" w:hAnsi="gobCL" w:cs="gobCL"/>
              </w:rPr>
            </w:pPr>
            <w:r>
              <w:rPr>
                <w:rFonts w:ascii="gobCL" w:eastAsia="gobCL" w:hAnsi="gobCL" w:cs="gobCL"/>
              </w:rPr>
              <w:t>No tener condenas por prácticas antisindicales y/o infracción a derechos fundamentales del trabajador, dentro de los dos años anteriores a la fecha de inicio de las postulaciones de la presente convocatoria. Sercotec validará nuevamente esta condición al momento de formalizar.</w:t>
            </w:r>
          </w:p>
        </w:tc>
        <w:tc>
          <w:tcPr>
            <w:tcW w:w="4297" w:type="dxa"/>
          </w:tcPr>
          <w:p w:rsidR="000703E3" w:rsidRDefault="001F6939">
            <w:pPr>
              <w:jc w:val="both"/>
              <w:rPr>
                <w:rFonts w:ascii="gobCL" w:eastAsia="gobCL" w:hAnsi="gobCL" w:cs="gobCL"/>
              </w:rPr>
            </w:pPr>
            <w:r>
              <w:rPr>
                <w:rFonts w:ascii="gobCL" w:eastAsia="gobCL" w:hAnsi="gobCL" w:cs="gobCL"/>
              </w:rPr>
              <w:t>Requisito validado automáticamente a través de la plataforma provista por la Dirección del Trabajo (se validará el requisito para el RUT de la empresa postulante).</w:t>
            </w:r>
          </w:p>
        </w:tc>
      </w:tr>
      <w:tr w:rsidR="000703E3">
        <w:tc>
          <w:tcPr>
            <w:tcW w:w="4531" w:type="dxa"/>
          </w:tcPr>
          <w:p w:rsidR="000703E3" w:rsidRDefault="001F6939">
            <w:pPr>
              <w:jc w:val="both"/>
              <w:rPr>
                <w:rFonts w:ascii="gobCL" w:eastAsia="gobCL" w:hAnsi="gobCL" w:cs="gobCL"/>
              </w:rPr>
            </w:pPr>
            <w:r>
              <w:rPr>
                <w:rFonts w:ascii="gobCL" w:eastAsia="gobCL" w:hAnsi="gobCL" w:cs="gobCL"/>
              </w:rPr>
              <w:t>No tener rendiciones pendientes con Sercotec, a la fecha de inicio de la convocatoria.</w:t>
            </w:r>
          </w:p>
        </w:tc>
        <w:tc>
          <w:tcPr>
            <w:tcW w:w="4297" w:type="dxa"/>
          </w:tcPr>
          <w:p w:rsidR="000703E3" w:rsidRDefault="001F6939">
            <w:pPr>
              <w:jc w:val="both"/>
              <w:rPr>
                <w:rFonts w:ascii="gobCL" w:eastAsia="gobCL" w:hAnsi="gobCL" w:cs="gobCL"/>
              </w:rPr>
            </w:pPr>
            <w:r>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0703E3">
        <w:tc>
          <w:tcPr>
            <w:tcW w:w="4531" w:type="dxa"/>
          </w:tcPr>
          <w:p w:rsidR="000703E3" w:rsidRDefault="000B7B1F" w:rsidP="00BB13B2">
            <w:pPr>
              <w:jc w:val="both"/>
              <w:rPr>
                <w:rFonts w:ascii="gobCL" w:eastAsia="gobCL" w:hAnsi="gobCL" w:cs="gobCL"/>
              </w:rPr>
            </w:pPr>
            <w:r w:rsidRPr="000B7B1F">
              <w:rPr>
                <w:rFonts w:ascii="gobCL" w:eastAsia="gobCL" w:hAnsi="gobCL" w:cs="gobCL"/>
              </w:rPr>
              <w:t>Tener domicilio comercial e</w:t>
            </w:r>
            <w:r w:rsidR="00A413E4">
              <w:rPr>
                <w:rFonts w:ascii="gobCL" w:eastAsia="gobCL" w:hAnsi="gobCL" w:cs="gobCL"/>
              </w:rPr>
              <w:t xml:space="preserve">n las provincias de Valparaíso; </w:t>
            </w:r>
            <w:r w:rsidRPr="000B7B1F">
              <w:rPr>
                <w:rFonts w:ascii="gobCL" w:eastAsia="gobCL" w:hAnsi="gobCL" w:cs="gobCL"/>
              </w:rPr>
              <w:t>San Antonio</w:t>
            </w:r>
            <w:r w:rsidR="00A413E4">
              <w:rPr>
                <w:rFonts w:ascii="gobCL" w:eastAsia="gobCL" w:hAnsi="gobCL" w:cs="gobCL"/>
              </w:rPr>
              <w:t xml:space="preserve"> </w:t>
            </w:r>
            <w:r w:rsidR="00A413E4" w:rsidRPr="00A413E4">
              <w:rPr>
                <w:rFonts w:ascii="gobCL" w:eastAsia="gobCL" w:hAnsi="gobCL" w:cs="gobCL"/>
              </w:rPr>
              <w:t>y provincia de Isla de Pascua</w:t>
            </w:r>
            <w:r w:rsidRPr="000B7B1F">
              <w:rPr>
                <w:rFonts w:ascii="gobCL" w:eastAsia="gobCL" w:hAnsi="gobCL" w:cs="gobCL"/>
              </w:rPr>
              <w:t xml:space="preserve"> para la presente convocatoria.</w:t>
            </w:r>
          </w:p>
          <w:p w:rsidR="00BB13B2" w:rsidRPr="00A413E4" w:rsidRDefault="00BB13B2" w:rsidP="00BB13B2">
            <w:pPr>
              <w:jc w:val="both"/>
              <w:rPr>
                <w:rFonts w:ascii="gobCL" w:eastAsia="gobCL" w:hAnsi="gobCL" w:cs="gobCL"/>
                <w:b/>
              </w:rPr>
            </w:pPr>
            <w:r w:rsidRPr="00A413E4">
              <w:rPr>
                <w:rFonts w:ascii="gobCL" w:eastAsia="gobCL" w:hAnsi="gobCL" w:cs="gobCL"/>
                <w:b/>
              </w:rPr>
              <w:t>Comunas:</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Valparaíso</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Viña del Mar</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Concón</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Quintero</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Puchuncaví</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Casablanca</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San Antonio</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Santo Domingo</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Cartagena</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El Tabo</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El Quisco</w:t>
            </w:r>
          </w:p>
          <w:p w:rsidR="00BB13B2" w:rsidRPr="00A413E4" w:rsidRDefault="00BB13B2" w:rsidP="00A413E4">
            <w:pPr>
              <w:pStyle w:val="Prrafodelista"/>
              <w:numPr>
                <w:ilvl w:val="0"/>
                <w:numId w:val="15"/>
              </w:numPr>
              <w:jc w:val="both"/>
              <w:rPr>
                <w:rFonts w:ascii="gobCL" w:eastAsia="gobCL" w:hAnsi="gobCL" w:cs="gobCL"/>
              </w:rPr>
            </w:pPr>
            <w:r w:rsidRPr="00A413E4">
              <w:rPr>
                <w:rFonts w:ascii="gobCL" w:eastAsia="gobCL" w:hAnsi="gobCL" w:cs="gobCL"/>
              </w:rPr>
              <w:t>Algarrobo</w:t>
            </w:r>
          </w:p>
          <w:p w:rsidR="00A413E4" w:rsidRDefault="00A413E4" w:rsidP="00A413E4">
            <w:pPr>
              <w:pStyle w:val="Prrafodelista"/>
              <w:numPr>
                <w:ilvl w:val="0"/>
                <w:numId w:val="15"/>
              </w:numPr>
              <w:jc w:val="both"/>
              <w:rPr>
                <w:rFonts w:ascii="gobCL" w:eastAsia="gobCL" w:hAnsi="gobCL" w:cs="gobCL"/>
              </w:rPr>
            </w:pPr>
            <w:r w:rsidRPr="00A413E4">
              <w:rPr>
                <w:rFonts w:ascii="gobCL" w:eastAsia="gobCL" w:hAnsi="gobCL" w:cs="gobCL"/>
              </w:rPr>
              <w:t>Isla de Pascua</w:t>
            </w:r>
          </w:p>
          <w:p w:rsidR="00B95479" w:rsidRPr="00A413E4" w:rsidRDefault="00B95479" w:rsidP="00A413E4">
            <w:pPr>
              <w:pStyle w:val="Prrafodelista"/>
              <w:numPr>
                <w:ilvl w:val="0"/>
                <w:numId w:val="15"/>
              </w:numPr>
              <w:jc w:val="both"/>
              <w:rPr>
                <w:rFonts w:ascii="gobCL" w:eastAsia="gobCL" w:hAnsi="gobCL" w:cs="gobCL"/>
              </w:rPr>
            </w:pPr>
            <w:r>
              <w:rPr>
                <w:rFonts w:ascii="gobCL" w:eastAsia="gobCL" w:hAnsi="gobCL" w:cs="gobCL"/>
              </w:rPr>
              <w:t>Juan Fernández</w:t>
            </w:r>
          </w:p>
        </w:tc>
        <w:tc>
          <w:tcPr>
            <w:tcW w:w="4297" w:type="dxa"/>
          </w:tcPr>
          <w:p w:rsidR="000703E3" w:rsidRDefault="001F6939">
            <w:pPr>
              <w:jc w:val="both"/>
              <w:rPr>
                <w:rFonts w:ascii="gobCL" w:eastAsia="gobCL" w:hAnsi="gobCL" w:cs="gobCL"/>
              </w:rPr>
            </w:pPr>
            <w:r>
              <w:rPr>
                <w:rFonts w:ascii="gobCL" w:eastAsia="gobCL" w:hAnsi="gobCL" w:cs="gobCL"/>
              </w:rPr>
              <w:t>Requisito validado automáticamente a través de la plataforma de postulación.</w:t>
            </w:r>
          </w:p>
        </w:tc>
      </w:tr>
      <w:tr w:rsidR="000703E3">
        <w:tc>
          <w:tcPr>
            <w:tcW w:w="4531" w:type="dxa"/>
          </w:tcPr>
          <w:p w:rsidR="000703E3" w:rsidRDefault="001F6939">
            <w:pPr>
              <w:jc w:val="both"/>
              <w:rPr>
                <w:rFonts w:ascii="gobCL" w:eastAsia="gobCL" w:hAnsi="gobCL" w:cs="gobCL"/>
              </w:rPr>
            </w:pPr>
            <w:r>
              <w:rPr>
                <w:rFonts w:ascii="gobCL" w:eastAsia="gobCL" w:hAnsi="gobCL" w:cs="gobCL"/>
              </w:rPr>
              <w:t xml:space="preserve">No haber sido beneficiario de las convocatorias Reactívate de Sercotec (cualquier fuente de financiamiento). </w:t>
            </w:r>
          </w:p>
        </w:tc>
        <w:tc>
          <w:tcPr>
            <w:tcW w:w="4297" w:type="dxa"/>
          </w:tcPr>
          <w:p w:rsidR="000703E3" w:rsidRDefault="001F6939">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p>
        </w:tc>
      </w:tr>
    </w:tbl>
    <w:p w:rsidR="000703E3" w:rsidRDefault="001F6939">
      <w:pPr>
        <w:spacing w:before="240" w:after="240"/>
        <w:jc w:val="both"/>
        <w:rPr>
          <w:rFonts w:ascii="gobCL" w:eastAsia="gobCL" w:hAnsi="gobCL" w:cs="gobCL"/>
          <w:b/>
          <w:sz w:val="20"/>
          <w:szCs w:val="20"/>
        </w:rPr>
      </w:pPr>
      <w:r>
        <w:rPr>
          <w:rFonts w:ascii="gobCL" w:eastAsia="gobCL" w:hAnsi="gobCL" w:cs="gobCL"/>
          <w:b/>
          <w:sz w:val="20"/>
          <w:szCs w:val="20"/>
        </w:rPr>
        <w:t>Admisibilidad manual</w:t>
      </w: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0703E3" w:rsidRDefault="001F6939">
            <w:pPr>
              <w:jc w:val="center"/>
              <w:rPr>
                <w:rFonts w:ascii="gobCL" w:eastAsia="gobCL" w:hAnsi="gobCL" w:cs="gobCL"/>
                <w:b/>
              </w:rPr>
            </w:pPr>
            <w:r>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0703E3" w:rsidRDefault="001F6939">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jc w:val="both"/>
              <w:rPr>
                <w:rFonts w:ascii="gobCL" w:eastAsia="gobCL" w:hAnsi="gobCL" w:cs="gobCL"/>
              </w:rPr>
            </w:pPr>
            <w:r>
              <w:rPr>
                <w:rFonts w:ascii="gobCL" w:eastAsia="gobCL" w:hAnsi="gobCL" w:cs="gobCL"/>
              </w:rPr>
              <w:t xml:space="preserve">Contar con ventas netas anuales demostrables mayores o iguales a 200 UF e inferiores o iguales a 15.000 UF. </w:t>
            </w:r>
          </w:p>
          <w:p w:rsidR="000703E3" w:rsidRDefault="000703E3">
            <w:pPr>
              <w:jc w:val="both"/>
              <w:rPr>
                <w:rFonts w:ascii="gobCL" w:eastAsia="gobCL" w:hAnsi="gobCL" w:cs="gobCL"/>
              </w:rPr>
            </w:pPr>
          </w:p>
          <w:p w:rsidR="000703E3" w:rsidRDefault="001F6939">
            <w:pPr>
              <w:jc w:val="both"/>
              <w:rPr>
                <w:rFonts w:ascii="gobCL" w:eastAsia="gobCL" w:hAnsi="gobCL" w:cs="gobCL"/>
              </w:rPr>
            </w:pPr>
            <w:r>
              <w:rPr>
                <w:rFonts w:ascii="gobCL" w:eastAsia="gobCL" w:hAnsi="gobCL" w:cs="gobCL"/>
              </w:rPr>
              <w:t xml:space="preserve">Para el cálculo del nivel de las ventas netas se utilizará el valor de la UF correspondiente a la fecha de inicio de la presente convocatoria y se utilizará el siguiente período: </w:t>
            </w:r>
            <w:r>
              <w:rPr>
                <w:rFonts w:ascii="gobCL" w:eastAsia="gobCL" w:hAnsi="gobCL" w:cs="gobCL"/>
                <w:b/>
              </w:rPr>
              <w:t>marzo 2019 -  febrero 2020</w:t>
            </w:r>
            <w:r>
              <w:rPr>
                <w:rFonts w:ascii="gobCL" w:eastAsia="gobCL" w:hAnsi="gobCL" w:cs="gobCL"/>
              </w:rPr>
              <w:t>.</w:t>
            </w:r>
          </w:p>
          <w:p w:rsidR="000703E3" w:rsidRDefault="001F6939">
            <w:pPr>
              <w:jc w:val="both"/>
              <w:rPr>
                <w:rFonts w:ascii="gobCL" w:eastAsia="gobCL" w:hAnsi="gobCL" w:cs="gobCL"/>
              </w:rPr>
            </w:pPr>
            <w:r>
              <w:rPr>
                <w:rFonts w:ascii="gobCL" w:eastAsia="gobCL" w:hAnsi="gobCL" w:cs="gobCL"/>
              </w:rPr>
              <w:t xml:space="preserve">Para el cálculo de ventas se consideran los códigos 538, 020 y 142 de los respectivos Formularios N°29. </w:t>
            </w:r>
          </w:p>
          <w:p w:rsidR="000703E3" w:rsidRDefault="000703E3">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0703E3" w:rsidRDefault="000703E3">
            <w:pPr>
              <w:jc w:val="both"/>
              <w:rPr>
                <w:rFonts w:ascii="gobCL" w:eastAsia="gobCL" w:hAnsi="gobCL" w:cs="gobCL"/>
              </w:rPr>
            </w:pP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pBdr>
                <w:top w:val="nil"/>
                <w:left w:val="nil"/>
                <w:bottom w:val="nil"/>
                <w:right w:val="nil"/>
                <w:between w:val="nil"/>
              </w:pBdr>
              <w:spacing w:line="276" w:lineRule="auto"/>
              <w:jc w:val="both"/>
              <w:rPr>
                <w:rFonts w:ascii="gobCL" w:eastAsia="gobCL" w:hAnsi="gobCL" w:cs="gobCL"/>
              </w:rPr>
            </w:pPr>
            <w:r>
              <w:rPr>
                <w:rFonts w:ascii="gobCL" w:eastAsia="gobCL" w:hAnsi="gobCL" w:cs="gobCL"/>
                <w:b/>
              </w:rPr>
              <w:t xml:space="preserve">Tener al menos un 30% disminución de ventas. </w:t>
            </w:r>
          </w:p>
          <w:p w:rsidR="000703E3" w:rsidRDefault="001F6939">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 xml:space="preserve">El porcentaje de disminución de ventas se calculará comparando el total de ventas del período 1 </w:t>
            </w:r>
            <w:r>
              <w:rPr>
                <w:rFonts w:ascii="gobCL" w:eastAsia="gobCL" w:hAnsi="gobCL" w:cs="gobCL"/>
                <w:b/>
              </w:rPr>
              <w:t>(marzo - abril – mayo 2019),</w:t>
            </w:r>
            <w:r>
              <w:rPr>
                <w:rFonts w:ascii="gobCL" w:eastAsia="gobCL" w:hAnsi="gobCL" w:cs="gobCL"/>
              </w:rPr>
              <w:t xml:space="preserve"> con el total de ventas del período 2 </w:t>
            </w:r>
            <w:r>
              <w:rPr>
                <w:rFonts w:ascii="gobCL" w:eastAsia="gobCL" w:hAnsi="gobCL" w:cs="gobCL"/>
                <w:b/>
              </w:rPr>
              <w:t>(marzo – abril - mayo 2020).</w:t>
            </w:r>
          </w:p>
          <w:p w:rsidR="000703E3" w:rsidRDefault="001F6939">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0703E3" w:rsidRDefault="000703E3">
            <w:pPr>
              <w:keepNext/>
              <w:keepLines/>
              <w:pBdr>
                <w:top w:val="nil"/>
                <w:left w:val="nil"/>
                <w:bottom w:val="nil"/>
                <w:right w:val="nil"/>
                <w:between w:val="nil"/>
              </w:pBdr>
              <w:spacing w:before="40"/>
              <w:jc w:val="both"/>
              <w:rPr>
                <w:rFonts w:ascii="gobCL" w:eastAsia="gobCL" w:hAnsi="gobCL" w:cs="gobCL"/>
                <w:color w:val="000000"/>
              </w:rPr>
            </w:pP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pBdr>
                <w:top w:val="nil"/>
                <w:left w:val="nil"/>
                <w:bottom w:val="nil"/>
                <w:right w:val="nil"/>
                <w:between w:val="nil"/>
              </w:pBdr>
              <w:spacing w:line="276" w:lineRule="auto"/>
              <w:jc w:val="both"/>
              <w:rPr>
                <w:rFonts w:ascii="gobCL" w:eastAsia="gobCL" w:hAnsi="gobCL" w:cs="gobCL"/>
                <w:b/>
              </w:rPr>
            </w:pPr>
            <w:r>
              <w:rPr>
                <w:rFonts w:ascii="gobCL" w:eastAsia="gobCL" w:hAnsi="gobCL" w:cs="gobCL"/>
                <w:b/>
              </w:rPr>
              <w:t>Tener inicio de actividades en primera categoría vinculadas al sector Turismo.</w:t>
            </w:r>
          </w:p>
          <w:p w:rsidR="000703E3" w:rsidRDefault="001F6939">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La vinculación al sector Turismo será validada en consideración de:</w:t>
            </w:r>
          </w:p>
          <w:p w:rsidR="000703E3" w:rsidRDefault="001F6939">
            <w:pPr>
              <w:numPr>
                <w:ilvl w:val="0"/>
                <w:numId w:val="13"/>
              </w:numPr>
              <w:pBdr>
                <w:top w:val="nil"/>
                <w:left w:val="nil"/>
                <w:bottom w:val="nil"/>
                <w:right w:val="nil"/>
                <w:between w:val="nil"/>
              </w:pBdr>
              <w:spacing w:line="276" w:lineRule="auto"/>
              <w:jc w:val="both"/>
              <w:rPr>
                <w:rFonts w:ascii="gobCL" w:eastAsia="gobCL" w:hAnsi="gobCL" w:cs="gobCL"/>
              </w:rPr>
            </w:pPr>
            <w:r>
              <w:rPr>
                <w:rFonts w:ascii="gobCL" w:eastAsia="gobCL" w:hAnsi="gobCL" w:cs="gobCL"/>
              </w:rPr>
              <w:t>Ser parte del Registro Nacional de Prestadores de Servicios Turísticos de SERNATUR (información provista por dicho servicio al 2 de julio de 2020).</w:t>
            </w:r>
          </w:p>
          <w:p w:rsidR="000703E3" w:rsidRDefault="001F6939">
            <w:pPr>
              <w:numPr>
                <w:ilvl w:val="0"/>
                <w:numId w:val="13"/>
              </w:numPr>
              <w:pBdr>
                <w:top w:val="nil"/>
                <w:left w:val="nil"/>
                <w:bottom w:val="nil"/>
                <w:right w:val="nil"/>
                <w:between w:val="nil"/>
              </w:pBdr>
              <w:spacing w:line="276" w:lineRule="auto"/>
              <w:jc w:val="both"/>
              <w:rPr>
                <w:rFonts w:ascii="gobCL" w:eastAsia="gobCL" w:hAnsi="gobCL" w:cs="gobCL"/>
              </w:rPr>
            </w:pPr>
            <w:r>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numPr>
                <w:ilvl w:val="0"/>
                <w:numId w:val="4"/>
              </w:numPr>
              <w:pBdr>
                <w:top w:val="nil"/>
                <w:left w:val="nil"/>
                <w:bottom w:val="nil"/>
                <w:right w:val="nil"/>
                <w:between w:val="nil"/>
              </w:pBdr>
              <w:spacing w:line="276" w:lineRule="auto"/>
              <w:ind w:left="216" w:hanging="216"/>
              <w:jc w:val="both"/>
              <w:rPr>
                <w:rFonts w:ascii="gobCL" w:eastAsia="gobCL" w:hAnsi="gobCL" w:cs="gobCL"/>
                <w:color w:val="000000"/>
                <w:sz w:val="22"/>
                <w:szCs w:val="22"/>
              </w:rPr>
            </w:pPr>
            <w:r>
              <w:rPr>
                <w:rFonts w:ascii="gobCL" w:eastAsia="gobCL" w:hAnsi="gobCL" w:cs="gobCL"/>
                <w:color w:val="000000"/>
                <w:sz w:val="22"/>
                <w:szCs w:val="22"/>
              </w:rPr>
              <w:t>Registro Nacional de Prestadores de Servicios Turísticos de SERNATUR (información provista por dicho servicio al 2 de julio de 2020).</w:t>
            </w:r>
          </w:p>
          <w:p w:rsidR="000703E3" w:rsidRDefault="001F6939">
            <w:pPr>
              <w:numPr>
                <w:ilvl w:val="0"/>
                <w:numId w:val="4"/>
              </w:numPr>
              <w:pBdr>
                <w:top w:val="nil"/>
                <w:left w:val="nil"/>
                <w:bottom w:val="nil"/>
                <w:right w:val="nil"/>
                <w:between w:val="nil"/>
              </w:pBdr>
              <w:spacing w:after="160" w:line="276" w:lineRule="auto"/>
              <w:ind w:left="216" w:hanging="216"/>
              <w:jc w:val="both"/>
              <w:rPr>
                <w:rFonts w:ascii="gobCL" w:eastAsia="gobCL" w:hAnsi="gobCL" w:cs="gobCL"/>
                <w:color w:val="000000"/>
                <w:sz w:val="22"/>
                <w:szCs w:val="22"/>
              </w:rPr>
            </w:pPr>
            <w:r>
              <w:rPr>
                <w:rFonts w:ascii="gobCL" w:eastAsia="gobCL" w:hAnsi="gobCL" w:cs="gobCL"/>
                <w:color w:val="000000"/>
                <w:sz w:val="22"/>
                <w:szCs w:val="22"/>
              </w:rPr>
              <w:t xml:space="preserve">Carpeta Tributaria Electrónica completa para Solicitar Créditos disponible en </w:t>
            </w:r>
            <w:hyperlink r:id="rId17">
              <w:r>
                <w:rPr>
                  <w:rFonts w:ascii="gobCL" w:eastAsia="gobCL" w:hAnsi="gobCL" w:cs="gobCL"/>
                  <w:color w:val="0000FF"/>
                  <w:sz w:val="22"/>
                  <w:szCs w:val="22"/>
                  <w:u w:val="single"/>
                </w:rPr>
                <w:t>https://zeus.sii.cl/dii_doc/carpeta_tributaria/html/index.htm</w:t>
              </w:r>
            </w:hyperlink>
            <w:r>
              <w:rPr>
                <w:rFonts w:ascii="gobCL" w:eastAsia="gobCL" w:hAnsi="gobCL" w:cs="gobCL"/>
                <w:color w:val="000000"/>
                <w:sz w:val="22"/>
                <w:szCs w:val="22"/>
              </w:rPr>
              <w:t xml:space="preserve"> </w:t>
            </w:r>
          </w:p>
          <w:p w:rsidR="000703E3" w:rsidRDefault="000703E3">
            <w:pPr>
              <w:pBdr>
                <w:top w:val="nil"/>
                <w:left w:val="nil"/>
                <w:bottom w:val="nil"/>
                <w:right w:val="nil"/>
                <w:between w:val="nil"/>
              </w:pBdr>
              <w:jc w:val="both"/>
              <w:rPr>
                <w:rFonts w:ascii="gobCL" w:eastAsia="gobCL" w:hAnsi="gobCL" w:cs="gobCL"/>
                <w:color w:val="000000"/>
              </w:rPr>
            </w:pPr>
          </w:p>
        </w:tc>
      </w:tr>
    </w:tbl>
    <w:p w:rsidR="000703E3" w:rsidRDefault="000703E3">
      <w:pPr>
        <w:rPr>
          <w:rFonts w:ascii="gobCL" w:eastAsia="gobCL" w:hAnsi="gobCL" w:cs="gobCL"/>
          <w:b/>
          <w:sz w:val="20"/>
          <w:szCs w:val="20"/>
        </w:rPr>
      </w:pPr>
    </w:p>
    <w:p w:rsidR="00A413E4" w:rsidRDefault="00A413E4">
      <w:pPr>
        <w:rPr>
          <w:rFonts w:ascii="gobCL" w:eastAsia="gobCL" w:hAnsi="gobCL" w:cs="gobCL"/>
          <w:b/>
          <w:sz w:val="20"/>
          <w:szCs w:val="20"/>
        </w:rPr>
      </w:pPr>
    </w:p>
    <w:p w:rsidR="00A413E4" w:rsidRDefault="00A413E4">
      <w:pPr>
        <w:rPr>
          <w:rFonts w:ascii="gobCL" w:eastAsia="gobCL" w:hAnsi="gobCL" w:cs="gobCL"/>
          <w:b/>
          <w:sz w:val="20"/>
          <w:szCs w:val="20"/>
        </w:rPr>
      </w:pPr>
    </w:p>
    <w:p w:rsidR="000703E3" w:rsidRDefault="001F6939">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0703E3">
        <w:tc>
          <w:tcPr>
            <w:tcW w:w="4531" w:type="dxa"/>
            <w:tcBorders>
              <w:top w:val="single" w:sz="4" w:space="0" w:color="000000"/>
              <w:left w:val="single" w:sz="4" w:space="0" w:color="000000"/>
              <w:bottom w:val="single" w:sz="4" w:space="0" w:color="000000"/>
              <w:right w:val="single" w:sz="4" w:space="0" w:color="000000"/>
            </w:tcBorders>
            <w:shd w:val="clear" w:color="auto" w:fill="D9D9D9"/>
          </w:tcPr>
          <w:p w:rsidR="000703E3" w:rsidRDefault="001F6939">
            <w:pPr>
              <w:jc w:val="center"/>
              <w:rPr>
                <w:rFonts w:ascii="gobCL" w:eastAsia="gobCL" w:hAnsi="gobCL" w:cs="gobCL"/>
                <w:b/>
              </w:rPr>
            </w:pPr>
            <w:r>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rsidR="000703E3" w:rsidRDefault="001F6939">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0703E3">
        <w:trPr>
          <w:trHeight w:val="1975"/>
        </w:trPr>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jc w:val="both"/>
              <w:rPr>
                <w:rFonts w:ascii="gobCL" w:eastAsia="gobCL" w:hAnsi="gobCL" w:cs="gobCL"/>
              </w:rPr>
            </w:pPr>
            <w:r>
              <w:rPr>
                <w:rFonts w:ascii="gobCL" w:eastAsia="gobCL" w:hAnsi="gobCL" w:cs="gobCL"/>
              </w:rPr>
              <w:t>En caso de ser persona jurídica, la empresa 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spacing w:before="240" w:after="240"/>
              <w:jc w:val="both"/>
              <w:rPr>
                <w:rFonts w:ascii="gobCL" w:eastAsia="gobCL" w:hAnsi="gobCL" w:cs="gobCL"/>
              </w:rPr>
            </w:pPr>
            <w:r>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 xml:space="preserve">Plan de Inversión elaborado en conjunto con el AOS, y validado por el ejecutivo de fomento. </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jc w:val="both"/>
              <w:rPr>
                <w:rFonts w:ascii="gobCL" w:eastAsia="gobCL" w:hAnsi="gobCL" w:cs="gobCL"/>
              </w:rPr>
            </w:pPr>
            <w:r>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8">
              <w:r>
                <w:rPr>
                  <w:rFonts w:ascii="gobCL" w:eastAsia="gobCL" w:hAnsi="gobCL" w:cs="gobCL"/>
                  <w:color w:val="0000FF"/>
                  <w:u w:val="single"/>
                </w:rPr>
                <w:t>https://www.dt.gob.cl/portal/1626/w3-article-100359.html</w:t>
              </w:r>
            </w:hyperlink>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Declaración Jurada simple de probidad, según formato de Anexo N°4.</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 xml:space="preserve">Declaración de no consanguinidad en el reembolso o compra de los gastos según formato Anexo N° 3. </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b/>
                <w:u w:val="single"/>
              </w:rPr>
            </w:pPr>
            <w:r>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Requisito validado por Sercotec para el RUT de la empresa postulante.</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Requisito validado por Sercotec para el RUT de la empresa postulante.</w:t>
            </w:r>
          </w:p>
        </w:tc>
      </w:tr>
      <w:tr w:rsidR="000703E3">
        <w:tc>
          <w:tcPr>
            <w:tcW w:w="4531"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En caso que la idea de negocio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Borders>
              <w:top w:val="single" w:sz="4" w:space="0" w:color="000000"/>
              <w:left w:val="single" w:sz="4" w:space="0" w:color="000000"/>
              <w:bottom w:val="single" w:sz="4" w:space="0" w:color="000000"/>
              <w:right w:val="single" w:sz="4" w:space="0" w:color="000000"/>
            </w:tcBorders>
          </w:tcPr>
          <w:p w:rsidR="000703E3" w:rsidRDefault="001F6939">
            <w:pPr>
              <w:ind w:left="25"/>
              <w:jc w:val="both"/>
              <w:rPr>
                <w:rFonts w:ascii="gobCL" w:eastAsia="gobCL" w:hAnsi="gobCL" w:cs="gobCL"/>
              </w:rPr>
            </w:pPr>
            <w:r>
              <w:rPr>
                <w:rFonts w:ascii="gobCL" w:eastAsia="gobCL" w:hAnsi="gobCL" w:cs="gobCL"/>
              </w:rPr>
              <w:t>este certificado no podrá ser superior a 90 días de antigüedad, al momento de la postulación.</w:t>
            </w:r>
          </w:p>
          <w:p w:rsidR="000703E3" w:rsidRDefault="001F6939">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0703E3" w:rsidRDefault="001F6939">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0703E3" w:rsidRDefault="001F6939">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0703E3" w:rsidRDefault="001F6939">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0703E3" w:rsidRDefault="001F6939">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rsidR="000703E3" w:rsidRDefault="000703E3">
      <w:pPr>
        <w:tabs>
          <w:tab w:val="left" w:pos="1747"/>
        </w:tabs>
        <w:jc w:val="center"/>
        <w:rPr>
          <w:rFonts w:ascii="gobCL" w:eastAsia="gobCL" w:hAnsi="gobCL" w:cs="gobCL"/>
          <w:b/>
          <w:sz w:val="20"/>
          <w:szCs w:val="20"/>
        </w:rPr>
      </w:pPr>
    </w:p>
    <w:p w:rsidR="000703E3" w:rsidRDefault="001F6939">
      <w:pPr>
        <w:jc w:val="center"/>
        <w:rPr>
          <w:rFonts w:ascii="gobCL" w:eastAsia="gobCL" w:hAnsi="gobCL" w:cs="gobCL"/>
          <w:b/>
          <w:sz w:val="20"/>
          <w:szCs w:val="20"/>
        </w:rPr>
      </w:pPr>
      <w:r>
        <w:br w:type="page"/>
      </w:r>
      <w:r>
        <w:rPr>
          <w:rFonts w:ascii="gobCL" w:eastAsia="gobCL" w:hAnsi="gobCL" w:cs="gobCL"/>
          <w:b/>
          <w:sz w:val="20"/>
          <w:szCs w:val="20"/>
        </w:rPr>
        <w:t>ANEXO N°2</w:t>
      </w:r>
    </w:p>
    <w:p w:rsidR="000703E3" w:rsidRDefault="001F6939">
      <w:pPr>
        <w:tabs>
          <w:tab w:val="left" w:pos="1747"/>
        </w:tabs>
        <w:jc w:val="center"/>
        <w:rPr>
          <w:rFonts w:ascii="gobCL" w:eastAsia="gobCL" w:hAnsi="gobCL" w:cs="gobCL"/>
          <w:b/>
          <w:sz w:val="20"/>
          <w:szCs w:val="20"/>
        </w:rPr>
      </w:pPr>
      <w:r>
        <w:rPr>
          <w:rFonts w:ascii="gobCL" w:eastAsia="gobCL" w:hAnsi="gobCL" w:cs="gobCL"/>
          <w:b/>
          <w:sz w:val="20"/>
          <w:szCs w:val="20"/>
        </w:rPr>
        <w:t>PLAN DE INVERSIÓN</w:t>
      </w:r>
    </w:p>
    <w:p w:rsidR="000703E3" w:rsidRDefault="000703E3">
      <w:pPr>
        <w:tabs>
          <w:tab w:val="left" w:pos="1747"/>
        </w:tabs>
        <w:rPr>
          <w:rFonts w:ascii="gobCL" w:eastAsia="gobCL" w:hAnsi="gobCL" w:cs="gobCL"/>
          <w:b/>
          <w:sz w:val="20"/>
          <w:szCs w:val="20"/>
        </w:rPr>
      </w:pPr>
    </w:p>
    <w:tbl>
      <w:tblPr>
        <w:tblStyle w:val="aff4"/>
        <w:tblW w:w="9214" w:type="dxa"/>
        <w:tblInd w:w="-5" w:type="dxa"/>
        <w:tblLayout w:type="fixed"/>
        <w:tblLook w:val="0400" w:firstRow="0" w:lastRow="0" w:firstColumn="0" w:lastColumn="0" w:noHBand="0" w:noVBand="1"/>
      </w:tblPr>
      <w:tblGrid>
        <w:gridCol w:w="1418"/>
        <w:gridCol w:w="4111"/>
        <w:gridCol w:w="1275"/>
        <w:gridCol w:w="1134"/>
        <w:gridCol w:w="1276"/>
      </w:tblGrid>
      <w:tr w:rsidR="000703E3">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rFonts w:ascii="gobCL" w:eastAsia="gobCL" w:hAnsi="gobCL" w:cs="gobCL"/>
                <w:b/>
                <w:color w:val="00000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rFonts w:ascii="gobCL" w:eastAsia="gobCL" w:hAnsi="gobCL" w:cs="gobCL"/>
                <w:b/>
                <w:color w:val="00000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rFonts w:ascii="gobCL" w:eastAsia="gobCL" w:hAnsi="gobCL" w:cs="gobCL"/>
                <w:b/>
                <w:color w:val="00000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sz w:val="19"/>
                <w:szCs w:val="19"/>
              </w:rPr>
            </w:pPr>
            <w:r>
              <w:rPr>
                <w:rFonts w:ascii="gobCL" w:eastAsia="gobCL" w:hAnsi="gobCL" w:cs="gobCL"/>
                <w:b/>
                <w:color w:val="000000"/>
                <w:sz w:val="19"/>
                <w:szCs w:val="19"/>
              </w:rPr>
              <w:t>FECHA DE ADQUISICIÓN</w:t>
            </w:r>
          </w:p>
        </w:tc>
      </w:tr>
      <w:tr w:rsidR="000703E3">
        <w:trPr>
          <w:trHeight w:val="288"/>
        </w:trPr>
        <w:tc>
          <w:tcPr>
            <w:tcW w:w="1418" w:type="dxa"/>
            <w:vMerge w:val="restart"/>
            <w:tcBorders>
              <w:top w:val="single" w:sz="4" w:space="0" w:color="000000"/>
              <w:left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color w:val="000000"/>
              </w:rPr>
            </w:pPr>
            <w:r>
              <w:rPr>
                <w:rFonts w:ascii="gobCL" w:eastAsia="gobCL" w:hAnsi="gobCL" w:cs="gobCL"/>
                <w:color w:val="000000"/>
              </w:rPr>
              <w:t>Capital de trabajo</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color w:val="000000"/>
              </w:rPr>
            </w:pPr>
            <w:r>
              <w:rPr>
                <w:color w:val="000000"/>
              </w:rPr>
              <w:t> </w:t>
            </w:r>
          </w:p>
        </w:tc>
        <w:tc>
          <w:tcPr>
            <w:tcW w:w="1134"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c>
          <w:tcPr>
            <w:tcW w:w="1276"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r>
      <w:tr w:rsidR="000703E3">
        <w:trPr>
          <w:trHeight w:val="300"/>
        </w:trPr>
        <w:tc>
          <w:tcPr>
            <w:tcW w:w="1418" w:type="dxa"/>
            <w:vMerge/>
            <w:tcBorders>
              <w:top w:val="single" w:sz="4" w:space="0" w:color="000000"/>
              <w:left w:val="single" w:sz="4" w:space="0" w:color="000000"/>
              <w:right w:val="single" w:sz="4" w:space="0" w:color="000000"/>
            </w:tcBorders>
            <w:shd w:val="clear" w:color="auto" w:fill="auto"/>
            <w:vAlign w:val="center"/>
          </w:tcPr>
          <w:p w:rsidR="000703E3" w:rsidRDefault="000703E3">
            <w:pPr>
              <w:widowControl w:val="0"/>
              <w:pBdr>
                <w:top w:val="nil"/>
                <w:left w:val="nil"/>
                <w:bottom w:val="nil"/>
                <w:right w:val="nil"/>
                <w:between w:val="nil"/>
              </w:pBdr>
              <w:spacing w:line="276" w:lineRule="auto"/>
              <w:rPr>
                <w:rFonts w:ascii="gobCL" w:eastAsia="gobCL" w:hAnsi="gobCL" w:cs="gobCL"/>
                <w:b/>
                <w:color w:val="000000"/>
              </w:rPr>
            </w:pPr>
          </w:p>
        </w:tc>
        <w:tc>
          <w:tcPr>
            <w:tcW w:w="4111"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color w:val="000000"/>
              </w:rPr>
            </w:pPr>
            <w:r>
              <w:rPr>
                <w:color w:val="000000"/>
              </w:rPr>
              <w:t> </w:t>
            </w:r>
          </w:p>
        </w:tc>
        <w:tc>
          <w:tcPr>
            <w:tcW w:w="1134"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c>
          <w:tcPr>
            <w:tcW w:w="1276" w:type="dxa"/>
            <w:tcBorders>
              <w:top w:val="nil"/>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center"/>
              <w:rPr>
                <w:rFonts w:ascii="gobCL" w:eastAsia="gobCL" w:hAnsi="gobCL" w:cs="gobCL"/>
                <w:b/>
                <w:color w:val="000000"/>
              </w:rPr>
            </w:pPr>
            <w:r>
              <w:rPr>
                <w:b/>
                <w:color w:val="000000"/>
              </w:rPr>
              <w:t> </w:t>
            </w:r>
          </w:p>
        </w:tc>
      </w:tr>
      <w:tr w:rsidR="000703E3">
        <w:trPr>
          <w:trHeight w:val="887"/>
        </w:trPr>
        <w:tc>
          <w:tcPr>
            <w:tcW w:w="1418" w:type="dxa"/>
            <w:vMerge/>
            <w:tcBorders>
              <w:top w:val="single" w:sz="4" w:space="0" w:color="000000"/>
              <w:left w:val="single" w:sz="4" w:space="0" w:color="000000"/>
              <w:right w:val="single" w:sz="4" w:space="0" w:color="000000"/>
            </w:tcBorders>
            <w:shd w:val="clear" w:color="auto" w:fill="auto"/>
            <w:vAlign w:val="center"/>
          </w:tcPr>
          <w:p w:rsidR="000703E3" w:rsidRDefault="000703E3">
            <w:pPr>
              <w:widowControl w:val="0"/>
              <w:pBdr>
                <w:top w:val="nil"/>
                <w:left w:val="nil"/>
                <w:bottom w:val="nil"/>
                <w:right w:val="nil"/>
                <w:between w:val="nil"/>
              </w:pBdr>
              <w:spacing w:line="276" w:lineRule="auto"/>
              <w:rPr>
                <w:rFonts w:ascii="gobCL" w:eastAsia="gobCL" w:hAnsi="gobCL" w:cs="gobCL"/>
                <w:b/>
                <w:color w:val="00000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r>
      <w:tr w:rsidR="000703E3">
        <w:trPr>
          <w:trHeight w:val="887"/>
        </w:trPr>
        <w:tc>
          <w:tcPr>
            <w:tcW w:w="1418" w:type="dxa"/>
            <w:vMerge/>
            <w:tcBorders>
              <w:top w:val="single" w:sz="4" w:space="0" w:color="000000"/>
              <w:left w:val="single" w:sz="4" w:space="0" w:color="000000"/>
              <w:right w:val="single" w:sz="4" w:space="0" w:color="000000"/>
            </w:tcBorders>
            <w:shd w:val="clear" w:color="auto" w:fill="auto"/>
            <w:vAlign w:val="center"/>
          </w:tcPr>
          <w:p w:rsidR="000703E3" w:rsidRDefault="000703E3">
            <w:pPr>
              <w:widowControl w:val="0"/>
              <w:pBdr>
                <w:top w:val="nil"/>
                <w:left w:val="nil"/>
                <w:bottom w:val="nil"/>
                <w:right w:val="nil"/>
                <w:between w:val="nil"/>
              </w:pBdr>
              <w:spacing w:line="276" w:lineRule="auto"/>
              <w:rPr>
                <w:rFonts w:ascii="gobCL" w:eastAsia="gobCL" w:hAnsi="gobCL" w:cs="gobCL"/>
                <w:b/>
                <w:color w:val="00000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r>
      <w:tr w:rsidR="000703E3">
        <w:trPr>
          <w:trHeight w:val="887"/>
        </w:trPr>
        <w:tc>
          <w:tcPr>
            <w:tcW w:w="1418" w:type="dxa"/>
            <w:tcBorders>
              <w:top w:val="single" w:sz="4" w:space="0" w:color="000000"/>
              <w:left w:val="single" w:sz="4" w:space="0" w:color="000000"/>
              <w:bottom w:val="single" w:sz="4" w:space="0" w:color="000000"/>
              <w:right w:val="single" w:sz="4" w:space="0" w:color="000000"/>
            </w:tcBorders>
            <w:vAlign w:val="center"/>
          </w:tcPr>
          <w:p w:rsidR="000703E3" w:rsidRDefault="001F6939">
            <w:pPr>
              <w:keepNext/>
              <w:pBdr>
                <w:top w:val="nil"/>
                <w:left w:val="nil"/>
                <w:bottom w:val="nil"/>
                <w:right w:val="nil"/>
                <w:between w:val="nil"/>
              </w:pBdr>
              <w:tabs>
                <w:tab w:val="left" w:pos="284"/>
              </w:tabs>
              <w:jc w:val="center"/>
              <w:rPr>
                <w:rFonts w:ascii="gobCL" w:eastAsia="gobCL" w:hAnsi="gobCL" w:cs="gobCL"/>
                <w:color w:val="000000"/>
              </w:rPr>
            </w:pPr>
            <w:r>
              <w:rPr>
                <w:rFonts w:ascii="gobCL" w:eastAsia="gobCL" w:hAnsi="gobCL" w:cs="gobCL"/>
                <w:color w:val="000000"/>
              </w:rPr>
              <w:t>Habilitación de Infraestructura</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Obras menores a ejecutarse dentro de los 2 meses de plazo del contrato.</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r>
      <w:tr w:rsidR="000703E3">
        <w:trPr>
          <w:trHeight w:val="887"/>
        </w:trPr>
        <w:tc>
          <w:tcPr>
            <w:tcW w:w="1418" w:type="dxa"/>
            <w:tcBorders>
              <w:top w:val="single" w:sz="4" w:space="0" w:color="000000"/>
              <w:left w:val="single" w:sz="4" w:space="0" w:color="000000"/>
              <w:bottom w:val="single" w:sz="4" w:space="0" w:color="000000"/>
              <w:right w:val="single" w:sz="4" w:space="0" w:color="000000"/>
            </w:tcBorders>
            <w:vAlign w:val="center"/>
          </w:tcPr>
          <w:p w:rsidR="000703E3" w:rsidRDefault="000703E3">
            <w:pPr>
              <w:keepNext/>
              <w:pBdr>
                <w:top w:val="nil"/>
                <w:left w:val="nil"/>
                <w:bottom w:val="nil"/>
                <w:right w:val="nil"/>
                <w:between w:val="nil"/>
              </w:pBdr>
              <w:tabs>
                <w:tab w:val="left" w:pos="284"/>
              </w:tabs>
              <w:jc w:val="center"/>
              <w:rPr>
                <w:rFonts w:ascii="gobCL" w:eastAsia="gobCL" w:hAnsi="gobCL" w:cs="gobCL"/>
                <w:color w:val="000000"/>
              </w:rPr>
            </w:pPr>
          </w:p>
          <w:p w:rsidR="000703E3" w:rsidRDefault="001F6939">
            <w:pPr>
              <w:keepNext/>
              <w:pBdr>
                <w:top w:val="nil"/>
                <w:left w:val="nil"/>
                <w:bottom w:val="nil"/>
                <w:right w:val="nil"/>
                <w:between w:val="nil"/>
              </w:pBdr>
              <w:tabs>
                <w:tab w:val="left" w:pos="284"/>
              </w:tabs>
              <w:jc w:val="center"/>
              <w:rPr>
                <w:rFonts w:ascii="gobCL" w:eastAsia="gobCL" w:hAnsi="gobCL" w:cs="gobCL"/>
                <w:color w:val="000000"/>
              </w:rPr>
            </w:pPr>
            <w:r>
              <w:rPr>
                <w:rFonts w:ascii="gobCL" w:eastAsia="gobCL" w:hAnsi="gobCL" w:cs="gobCL"/>
                <w:color w:val="00000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rsidR="000703E3" w:rsidRDefault="001F6939">
            <w:pPr>
              <w:keepNext/>
              <w:pBdr>
                <w:top w:val="nil"/>
                <w:left w:val="nil"/>
                <w:bottom w:val="nil"/>
                <w:right w:val="nil"/>
                <w:between w:val="nil"/>
              </w:pBdr>
              <w:tabs>
                <w:tab w:val="left" w:pos="284"/>
              </w:tabs>
              <w:jc w:val="both"/>
              <w:rPr>
                <w:rFonts w:ascii="gobCL" w:eastAsia="gobCL" w:hAnsi="gobCL" w:cs="gobCL"/>
                <w:color w:val="000000"/>
              </w:rPr>
            </w:pPr>
            <w:r>
              <w:rPr>
                <w:rFonts w:ascii="gobCL" w:eastAsia="gobCL" w:hAnsi="gobCL" w:cs="gobCL"/>
                <w:color w:val="00000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r>
      <w:tr w:rsidR="000703E3">
        <w:trPr>
          <w:trHeight w:val="887"/>
        </w:trPr>
        <w:tc>
          <w:tcPr>
            <w:tcW w:w="5529" w:type="dxa"/>
            <w:gridSpan w:val="2"/>
            <w:tcBorders>
              <w:top w:val="single" w:sz="4" w:space="0" w:color="000000"/>
              <w:left w:val="single" w:sz="4" w:space="0" w:color="000000"/>
              <w:bottom w:val="single" w:sz="4" w:space="0" w:color="000000"/>
              <w:right w:val="single" w:sz="4" w:space="0" w:color="000000"/>
            </w:tcBorders>
            <w:vAlign w:val="center"/>
          </w:tcPr>
          <w:p w:rsidR="000703E3" w:rsidRDefault="001F6939">
            <w:pPr>
              <w:keepNext/>
              <w:pBdr>
                <w:top w:val="nil"/>
                <w:left w:val="nil"/>
                <w:bottom w:val="nil"/>
                <w:right w:val="nil"/>
                <w:between w:val="nil"/>
              </w:pBdr>
              <w:tabs>
                <w:tab w:val="left" w:pos="284"/>
              </w:tabs>
              <w:jc w:val="right"/>
              <w:rPr>
                <w:rFonts w:ascii="gobCL" w:eastAsia="gobCL" w:hAnsi="gobCL" w:cs="gobCL"/>
                <w:color w:val="000000"/>
              </w:rPr>
            </w:pPr>
            <w:r>
              <w:rPr>
                <w:rFonts w:ascii="gobCL" w:eastAsia="gobCL" w:hAnsi="gobCL" w:cs="gobCL"/>
                <w:color w:val="00000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color w:val="00000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0703E3" w:rsidRDefault="000703E3">
            <w:pPr>
              <w:keepNext/>
              <w:pBdr>
                <w:top w:val="nil"/>
                <w:left w:val="nil"/>
                <w:bottom w:val="nil"/>
                <w:right w:val="nil"/>
                <w:between w:val="nil"/>
              </w:pBdr>
              <w:tabs>
                <w:tab w:val="left" w:pos="284"/>
              </w:tabs>
              <w:jc w:val="center"/>
              <w:rPr>
                <w:rFonts w:ascii="gobCL" w:eastAsia="gobCL" w:hAnsi="gobCL" w:cs="gobCL"/>
                <w:b/>
                <w:color w:val="000000"/>
              </w:rPr>
            </w:pPr>
          </w:p>
        </w:tc>
      </w:tr>
    </w:tbl>
    <w:p w:rsidR="000703E3" w:rsidRDefault="001F693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1F6939">
      <w:pPr>
        <w:rPr>
          <w:rFonts w:ascii="gobCL" w:eastAsia="gobCL" w:hAnsi="gobCL" w:cs="gobCL"/>
          <w:b/>
          <w:color w:val="000000"/>
          <w:sz w:val="20"/>
          <w:szCs w:val="20"/>
        </w:rPr>
      </w:pPr>
      <w:r>
        <w:br w:type="page"/>
      </w:r>
    </w:p>
    <w:p w:rsidR="000703E3" w:rsidRDefault="001F6939">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ANEXO N°3</w:t>
      </w:r>
    </w:p>
    <w:p w:rsidR="000703E3" w:rsidRDefault="000703E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0703E3" w:rsidRDefault="001F6939">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0703E3" w:rsidRDefault="001F6939">
      <w:pPr>
        <w:jc w:val="center"/>
        <w:rPr>
          <w:rFonts w:ascii="gobCL" w:eastAsia="gobCL" w:hAnsi="gobCL" w:cs="gobCL"/>
          <w:b/>
          <w:sz w:val="20"/>
          <w:szCs w:val="20"/>
        </w:rPr>
      </w:pPr>
      <w:r>
        <w:rPr>
          <w:rFonts w:ascii="gobCL" w:eastAsia="gobCL" w:hAnsi="gobCL" w:cs="gobCL"/>
          <w:b/>
          <w:sz w:val="20"/>
          <w:szCs w:val="20"/>
        </w:rPr>
        <w:t>EN LA RENDICIÓN DE LOS GASTOS</w:t>
      </w:r>
    </w:p>
    <w:p w:rsidR="000703E3" w:rsidRDefault="001F6939">
      <w:pPr>
        <w:jc w:val="both"/>
        <w:rPr>
          <w:rFonts w:ascii="gobCL" w:eastAsia="gobCL" w:hAnsi="gobCL" w:cs="gobCL"/>
          <w:sz w:val="20"/>
          <w:szCs w:val="20"/>
        </w:rPr>
      </w:pPr>
      <w:r>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rsidR="000703E3" w:rsidRDefault="001F6939">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0703E3" w:rsidRDefault="001F6939">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0703E3" w:rsidRDefault="001F6939">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0703E3" w:rsidRDefault="001F6939">
      <w:pPr>
        <w:numPr>
          <w:ilvl w:val="0"/>
          <w:numId w:val="11"/>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0703E3" w:rsidRDefault="001F6939">
      <w:pPr>
        <w:numPr>
          <w:ilvl w:val="0"/>
          <w:numId w:val="11"/>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0703E3" w:rsidRDefault="001F6939">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0703E3">
        <w:tc>
          <w:tcPr>
            <w:tcW w:w="540" w:type="dxa"/>
          </w:tcPr>
          <w:p w:rsidR="000703E3" w:rsidRDefault="000703E3">
            <w:pPr>
              <w:spacing w:after="200" w:line="276" w:lineRule="auto"/>
              <w:rPr>
                <w:rFonts w:ascii="gobCL" w:eastAsia="gobCL" w:hAnsi="gobCL" w:cs="gobCL"/>
              </w:rPr>
            </w:pPr>
          </w:p>
        </w:tc>
        <w:tc>
          <w:tcPr>
            <w:tcW w:w="626" w:type="dxa"/>
          </w:tcPr>
          <w:p w:rsidR="000703E3" w:rsidRDefault="000703E3">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0703E3" w:rsidRDefault="000703E3">
            <w:pPr>
              <w:spacing w:after="200" w:line="276" w:lineRule="auto"/>
              <w:rPr>
                <w:rFonts w:ascii="gobCL" w:eastAsia="gobCL" w:hAnsi="gobCL" w:cs="gobCL"/>
              </w:rPr>
            </w:pPr>
          </w:p>
        </w:tc>
      </w:tr>
      <w:tr w:rsidR="000703E3">
        <w:tc>
          <w:tcPr>
            <w:tcW w:w="540" w:type="dxa"/>
          </w:tcPr>
          <w:p w:rsidR="000703E3" w:rsidRDefault="000703E3">
            <w:pPr>
              <w:spacing w:after="200" w:line="276" w:lineRule="auto"/>
              <w:rPr>
                <w:rFonts w:ascii="gobCL" w:eastAsia="gobCL" w:hAnsi="gobCL" w:cs="gobCL"/>
              </w:rPr>
            </w:pPr>
          </w:p>
        </w:tc>
        <w:tc>
          <w:tcPr>
            <w:tcW w:w="626" w:type="dxa"/>
          </w:tcPr>
          <w:p w:rsidR="000703E3" w:rsidRDefault="000703E3">
            <w:pPr>
              <w:spacing w:after="200" w:line="276" w:lineRule="auto"/>
              <w:rPr>
                <w:rFonts w:ascii="gobCL" w:eastAsia="gobCL" w:hAnsi="gobCL" w:cs="gobCL"/>
              </w:rPr>
            </w:pPr>
          </w:p>
        </w:tc>
        <w:tc>
          <w:tcPr>
            <w:tcW w:w="2831" w:type="dxa"/>
          </w:tcPr>
          <w:p w:rsidR="000703E3" w:rsidRDefault="001F6939">
            <w:pPr>
              <w:rPr>
                <w:rFonts w:ascii="gobCL" w:eastAsia="gobCL" w:hAnsi="gobCL" w:cs="gobCL"/>
                <w:b/>
              </w:rPr>
            </w:pPr>
            <w:r>
              <w:rPr>
                <w:rFonts w:ascii="gobCL" w:eastAsia="gobCL" w:hAnsi="gobCL" w:cs="gobCL"/>
                <w:b/>
              </w:rPr>
              <w:t xml:space="preserve">Nombre y Firma </w:t>
            </w:r>
          </w:p>
          <w:p w:rsidR="000703E3" w:rsidRDefault="001F6939">
            <w:pPr>
              <w:spacing w:after="200" w:line="276" w:lineRule="auto"/>
              <w:rPr>
                <w:rFonts w:ascii="gobCL" w:eastAsia="gobCL" w:hAnsi="gobCL" w:cs="gobCL"/>
              </w:rPr>
            </w:pPr>
            <w:r>
              <w:rPr>
                <w:rFonts w:ascii="gobCL" w:eastAsia="gobCL" w:hAnsi="gobCL" w:cs="gobCL"/>
                <w:b/>
              </w:rPr>
              <w:t>RUT</w:t>
            </w:r>
          </w:p>
        </w:tc>
      </w:tr>
    </w:tbl>
    <w:p w:rsidR="000703E3" w:rsidRDefault="000703E3">
      <w:pPr>
        <w:jc w:val="center"/>
        <w:rPr>
          <w:rFonts w:ascii="gobCL" w:eastAsia="gobCL" w:hAnsi="gobCL" w:cs="gobCL"/>
          <w:b/>
          <w:sz w:val="20"/>
          <w:szCs w:val="20"/>
        </w:rPr>
      </w:pPr>
    </w:p>
    <w:p w:rsidR="000703E3" w:rsidRDefault="001F6939">
      <w:pPr>
        <w:jc w:val="center"/>
        <w:rPr>
          <w:rFonts w:ascii="gobCL" w:eastAsia="gobCL" w:hAnsi="gobCL" w:cs="gobCL"/>
          <w:b/>
          <w:sz w:val="20"/>
          <w:szCs w:val="20"/>
        </w:rPr>
      </w:pPr>
      <w:r>
        <w:br w:type="page"/>
      </w:r>
      <w:r>
        <w:rPr>
          <w:rFonts w:ascii="gobCL" w:eastAsia="gobCL" w:hAnsi="gobCL" w:cs="gobCL"/>
          <w:b/>
          <w:sz w:val="20"/>
          <w:szCs w:val="20"/>
        </w:rPr>
        <w:t>ANEXO N° 4</w:t>
      </w:r>
    </w:p>
    <w:p w:rsidR="000703E3" w:rsidRDefault="001F6939">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f6"/>
        <w:tblW w:w="8337" w:type="dxa"/>
        <w:tblInd w:w="0" w:type="dxa"/>
        <w:tblLayout w:type="fixed"/>
        <w:tblLook w:val="0400" w:firstRow="0" w:lastRow="0" w:firstColumn="0" w:lastColumn="0" w:noHBand="0" w:noVBand="1"/>
      </w:tblPr>
      <w:tblGrid>
        <w:gridCol w:w="8337"/>
      </w:tblGrid>
      <w:tr w:rsidR="000703E3">
        <w:trPr>
          <w:trHeight w:val="8127"/>
        </w:trPr>
        <w:tc>
          <w:tcPr>
            <w:tcW w:w="8337" w:type="dxa"/>
            <w:shd w:val="clear" w:color="auto" w:fill="auto"/>
          </w:tcPr>
          <w:p w:rsidR="000703E3" w:rsidRDefault="001F6939">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0703E3" w:rsidRDefault="001F6939">
            <w:pPr>
              <w:spacing w:before="240" w:after="240"/>
              <w:ind w:left="37"/>
              <w:jc w:val="both"/>
              <w:rPr>
                <w:rFonts w:ascii="gobCL" w:eastAsia="gobCL" w:hAnsi="gobCL" w:cs="gobCL"/>
              </w:rPr>
            </w:pPr>
            <w:r>
              <w:rPr>
                <w:rFonts w:ascii="gobCL" w:eastAsia="gobCL" w:hAnsi="gobCL" w:cs="gobCL"/>
              </w:rPr>
              <w:t>Rut:____________________________________ declaro NO afectar el principio de probidad del PROGRAMA ESPECIAL DE EMERGENCIA PRODUCTIVA REACTÍVATE TURISMO,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0703E3" w:rsidRDefault="000703E3">
            <w:pPr>
              <w:spacing w:before="240" w:after="240"/>
              <w:jc w:val="both"/>
              <w:rPr>
                <w:rFonts w:ascii="gobCL" w:eastAsia="gobCL" w:hAnsi="gobCL" w:cs="gobCL"/>
              </w:rPr>
            </w:pPr>
          </w:p>
          <w:p w:rsidR="000703E3" w:rsidRDefault="000703E3">
            <w:pPr>
              <w:spacing w:before="240" w:after="240"/>
              <w:jc w:val="both"/>
              <w:rPr>
                <w:rFonts w:ascii="gobCL" w:eastAsia="gobCL" w:hAnsi="gobCL" w:cs="gobCL"/>
              </w:rPr>
            </w:pPr>
          </w:p>
          <w:p w:rsidR="000703E3" w:rsidRDefault="000703E3">
            <w:pPr>
              <w:pBdr>
                <w:bottom w:val="single" w:sz="12" w:space="1" w:color="000000"/>
              </w:pBdr>
              <w:spacing w:before="240" w:after="240"/>
              <w:jc w:val="both"/>
              <w:rPr>
                <w:rFonts w:ascii="gobCL" w:eastAsia="gobCL" w:hAnsi="gobCL" w:cs="gobCL"/>
              </w:rPr>
            </w:pPr>
          </w:p>
          <w:p w:rsidR="000703E3" w:rsidRDefault="001F6939">
            <w:pPr>
              <w:spacing w:before="240" w:after="240"/>
              <w:jc w:val="both"/>
              <w:rPr>
                <w:rFonts w:ascii="gobCL" w:eastAsia="gobCL" w:hAnsi="gobCL" w:cs="gobCL"/>
              </w:rPr>
            </w:pPr>
            <w:r>
              <w:rPr>
                <w:rFonts w:ascii="gobCL" w:eastAsia="gobCL" w:hAnsi="gobCL" w:cs="gobCL"/>
              </w:rPr>
              <w:t>Beneficiario/a:</w:t>
            </w:r>
          </w:p>
          <w:p w:rsidR="000703E3" w:rsidRDefault="000703E3">
            <w:pPr>
              <w:spacing w:before="240" w:after="240"/>
              <w:jc w:val="both"/>
              <w:rPr>
                <w:rFonts w:ascii="gobCL" w:eastAsia="gobCL" w:hAnsi="gobCL" w:cs="gobCL"/>
              </w:rPr>
            </w:pPr>
          </w:p>
          <w:p w:rsidR="000703E3" w:rsidRDefault="001F6939">
            <w:pPr>
              <w:spacing w:before="240" w:after="240"/>
              <w:jc w:val="both"/>
              <w:rPr>
                <w:rFonts w:ascii="gobCL" w:eastAsia="gobCL" w:hAnsi="gobCL" w:cs="gobCL"/>
              </w:rPr>
            </w:pPr>
            <w:r>
              <w:rPr>
                <w:rFonts w:ascii="gobCL" w:eastAsia="gobCL" w:hAnsi="gobCL" w:cs="gobCL"/>
              </w:rPr>
              <w:t>Sr./a:………………………………………………………………….</w:t>
            </w:r>
          </w:p>
          <w:p w:rsidR="000703E3" w:rsidRDefault="000703E3">
            <w:pPr>
              <w:spacing w:before="240" w:after="240"/>
              <w:jc w:val="both"/>
              <w:rPr>
                <w:rFonts w:ascii="gobCL" w:eastAsia="gobCL" w:hAnsi="gobCL" w:cs="gobCL"/>
              </w:rPr>
            </w:pPr>
          </w:p>
        </w:tc>
      </w:tr>
    </w:tbl>
    <w:p w:rsidR="000703E3" w:rsidRDefault="000703E3">
      <w:pPr>
        <w:rPr>
          <w:rFonts w:ascii="gobCL" w:eastAsia="gobCL" w:hAnsi="gobCL" w:cs="gobCL"/>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1F6939">
      <w:pPr>
        <w:jc w:val="center"/>
        <w:rPr>
          <w:rFonts w:ascii="gobCL" w:eastAsia="gobCL" w:hAnsi="gobCL" w:cs="gobCL"/>
          <w:b/>
          <w:sz w:val="20"/>
          <w:szCs w:val="20"/>
        </w:rPr>
      </w:pPr>
      <w:r>
        <w:br w:type="page"/>
      </w:r>
      <w:r>
        <w:rPr>
          <w:rFonts w:ascii="gobCL" w:eastAsia="gobCL" w:hAnsi="gobCL" w:cs="gobCL"/>
          <w:b/>
          <w:sz w:val="20"/>
          <w:szCs w:val="20"/>
        </w:rPr>
        <w:t>ANEXO N° 5</w:t>
      </w:r>
    </w:p>
    <w:tbl>
      <w:tblPr>
        <w:tblStyle w:val="aff7"/>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25"/>
        <w:gridCol w:w="851"/>
        <w:gridCol w:w="5572"/>
      </w:tblGrid>
      <w:tr w:rsidR="000703E3">
        <w:trPr>
          <w:trHeight w:val="765"/>
          <w:jc w:val="center"/>
        </w:trPr>
        <w:tc>
          <w:tcPr>
            <w:tcW w:w="1980" w:type="dxa"/>
          </w:tcPr>
          <w:p w:rsidR="000703E3" w:rsidRDefault="001F6939">
            <w:pPr>
              <w:jc w:val="center"/>
              <w:rPr>
                <w:rFonts w:ascii="gobCL" w:eastAsia="gobCL" w:hAnsi="gobCL" w:cs="gobCL"/>
                <w:b/>
                <w:sz w:val="15"/>
                <w:szCs w:val="15"/>
              </w:rPr>
            </w:pPr>
            <w:r>
              <w:rPr>
                <w:rFonts w:ascii="gobCL" w:eastAsia="gobCL" w:hAnsi="gobCL" w:cs="gobCL"/>
                <w:b/>
                <w:sz w:val="15"/>
                <w:szCs w:val="15"/>
              </w:rPr>
              <w:t>Nombre Actividad Característica del Turismo (ACT)</w:t>
            </w:r>
          </w:p>
        </w:tc>
        <w:tc>
          <w:tcPr>
            <w:tcW w:w="425" w:type="dxa"/>
          </w:tcPr>
          <w:p w:rsidR="000703E3" w:rsidRDefault="001F6939">
            <w:pPr>
              <w:jc w:val="center"/>
              <w:rPr>
                <w:rFonts w:ascii="gobCL" w:eastAsia="gobCL" w:hAnsi="gobCL" w:cs="gobCL"/>
                <w:b/>
                <w:sz w:val="15"/>
                <w:szCs w:val="15"/>
              </w:rPr>
            </w:pPr>
            <w:r>
              <w:rPr>
                <w:rFonts w:ascii="gobCL" w:eastAsia="gobCL" w:hAnsi="gobCL" w:cs="gobCL"/>
                <w:b/>
                <w:sz w:val="15"/>
                <w:szCs w:val="15"/>
              </w:rPr>
              <w:t>N°</w:t>
            </w:r>
          </w:p>
        </w:tc>
        <w:tc>
          <w:tcPr>
            <w:tcW w:w="851" w:type="dxa"/>
          </w:tcPr>
          <w:p w:rsidR="000703E3" w:rsidRDefault="001F6939">
            <w:pPr>
              <w:jc w:val="center"/>
              <w:rPr>
                <w:rFonts w:ascii="gobCL" w:eastAsia="gobCL" w:hAnsi="gobCL" w:cs="gobCL"/>
                <w:b/>
                <w:sz w:val="15"/>
                <w:szCs w:val="15"/>
              </w:rPr>
            </w:pPr>
            <w:r>
              <w:rPr>
                <w:rFonts w:ascii="gobCL" w:eastAsia="gobCL" w:hAnsi="gobCL" w:cs="gobCL"/>
                <w:b/>
                <w:sz w:val="15"/>
                <w:szCs w:val="15"/>
              </w:rPr>
              <w:t>Código Actividad CIU Rev.4</w:t>
            </w:r>
          </w:p>
        </w:tc>
        <w:tc>
          <w:tcPr>
            <w:tcW w:w="5572" w:type="dxa"/>
          </w:tcPr>
          <w:p w:rsidR="000703E3" w:rsidRDefault="000703E3">
            <w:pPr>
              <w:jc w:val="center"/>
              <w:rPr>
                <w:rFonts w:ascii="gobCL" w:eastAsia="gobCL" w:hAnsi="gobCL" w:cs="gobCL"/>
                <w:b/>
                <w:sz w:val="15"/>
                <w:szCs w:val="15"/>
              </w:rPr>
            </w:pPr>
          </w:p>
          <w:p w:rsidR="000703E3" w:rsidRDefault="001F6939">
            <w:pPr>
              <w:jc w:val="center"/>
              <w:rPr>
                <w:rFonts w:ascii="gobCL" w:eastAsia="gobCL" w:hAnsi="gobCL" w:cs="gobCL"/>
                <w:b/>
                <w:sz w:val="15"/>
                <w:szCs w:val="15"/>
              </w:rPr>
            </w:pPr>
            <w:r>
              <w:rPr>
                <w:rFonts w:ascii="gobCL" w:eastAsia="gobCL" w:hAnsi="gobCL" w:cs="gobCL"/>
                <w:b/>
                <w:sz w:val="15"/>
                <w:szCs w:val="15"/>
              </w:rPr>
              <w:t>Nombre Actividad CIU Rev.4</w:t>
            </w:r>
          </w:p>
        </w:tc>
      </w:tr>
      <w:tr w:rsidR="000703E3">
        <w:trPr>
          <w:trHeight w:val="300"/>
          <w:jc w:val="center"/>
        </w:trPr>
        <w:tc>
          <w:tcPr>
            <w:tcW w:w="1980" w:type="dxa"/>
            <w:vMerge w:val="restart"/>
          </w:tcPr>
          <w:p w:rsidR="000703E3" w:rsidRDefault="001F6939">
            <w:pPr>
              <w:rPr>
                <w:rFonts w:ascii="gobCL" w:eastAsia="gobCL" w:hAnsi="gobCL" w:cs="gobCL"/>
                <w:sz w:val="15"/>
                <w:szCs w:val="15"/>
              </w:rPr>
            </w:pPr>
            <w:r>
              <w:rPr>
                <w:rFonts w:ascii="gobCL" w:eastAsia="gobCL" w:hAnsi="gobCL" w:cs="gobCL"/>
                <w:sz w:val="15"/>
                <w:szCs w:val="15"/>
              </w:rPr>
              <w:t>Alojamiento turístico</w:t>
            </w: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551001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hoteles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551002</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moteles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551003</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residenciales para turistas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4</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551009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 alojamiento para turistas n.c.p.</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5</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552000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camping y de parques para casas rodantes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6</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559009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 alojamiento n.c.p.</w:t>
            </w:r>
          </w:p>
        </w:tc>
      </w:tr>
      <w:tr w:rsidR="000703E3">
        <w:trPr>
          <w:trHeight w:val="300"/>
          <w:jc w:val="center"/>
        </w:trPr>
        <w:tc>
          <w:tcPr>
            <w:tcW w:w="1980" w:type="dxa"/>
            <w:vMerge w:val="restart"/>
          </w:tcPr>
          <w:p w:rsidR="000703E3" w:rsidRDefault="001F6939">
            <w:pPr>
              <w:jc w:val="both"/>
              <w:rPr>
                <w:rFonts w:ascii="gobCL" w:eastAsia="gobCL" w:hAnsi="gobCL" w:cs="gobCL"/>
                <w:sz w:val="15"/>
                <w:szCs w:val="15"/>
              </w:rPr>
            </w:pPr>
            <w:r>
              <w:rPr>
                <w:rFonts w:ascii="gobCL" w:eastAsia="gobCL" w:hAnsi="gobCL" w:cs="gobCL"/>
                <w:sz w:val="15"/>
                <w:szCs w:val="15"/>
              </w:rPr>
              <w:t>Actividades de provisión de alimentos y bebidas</w:t>
            </w: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7</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561000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restaurantes y de servicio móvil de comidas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8</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562900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Suministro industrial de comidas por encargo; concesión de servicios de alimentación</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9</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563001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discotecas y cabaret (night club), con predominio del servicio de bebidas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10</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563009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 servicio de bebidas n.c.p.</w:t>
            </w:r>
          </w:p>
        </w:tc>
      </w:tr>
      <w:tr w:rsidR="000703E3">
        <w:trPr>
          <w:trHeight w:val="300"/>
          <w:jc w:val="center"/>
        </w:trPr>
        <w:tc>
          <w:tcPr>
            <w:tcW w:w="1980" w:type="dxa"/>
            <w:vMerge w:val="restart"/>
          </w:tcPr>
          <w:p w:rsidR="000703E3" w:rsidRDefault="001F6939">
            <w:pPr>
              <w:jc w:val="both"/>
              <w:rPr>
                <w:rFonts w:ascii="gobCL" w:eastAsia="gobCL" w:hAnsi="gobCL" w:cs="gobCL"/>
                <w:sz w:val="15"/>
                <w:szCs w:val="15"/>
              </w:rPr>
            </w:pPr>
            <w:r>
              <w:rPr>
                <w:rFonts w:ascii="gobCL" w:eastAsia="gobCL" w:hAnsi="gobCL" w:cs="gobCL"/>
                <w:sz w:val="15"/>
                <w:szCs w:val="15"/>
              </w:rPr>
              <w:t>Transporte de pasajeros por ferrocarril</w:t>
            </w: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11</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491100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Transporte interurbano de pasajeros por ferrocarril</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12</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492230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Servicios de transporte de pasajeros en taxis libres y radiotaxis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13</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492240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Servicios de transporte a turistas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14</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492250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Transporte de pasajeros en buses interurbanos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15</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492290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 transporte de pasajeros por vía terrestre n.c.p.</w:t>
            </w:r>
          </w:p>
        </w:tc>
      </w:tr>
      <w:tr w:rsidR="000703E3">
        <w:trPr>
          <w:trHeight w:val="300"/>
          <w:jc w:val="center"/>
        </w:trPr>
        <w:tc>
          <w:tcPr>
            <w:tcW w:w="1980" w:type="dxa"/>
            <w:vMerge w:val="restart"/>
          </w:tcPr>
          <w:p w:rsidR="000703E3" w:rsidRDefault="001F6939">
            <w:pPr>
              <w:jc w:val="both"/>
              <w:rPr>
                <w:rFonts w:ascii="gobCL" w:eastAsia="gobCL" w:hAnsi="gobCL" w:cs="gobCL"/>
                <w:sz w:val="15"/>
                <w:szCs w:val="15"/>
              </w:rPr>
            </w:pPr>
            <w:r>
              <w:rPr>
                <w:rFonts w:ascii="gobCL" w:eastAsia="gobCL" w:hAnsi="gobCL" w:cs="gobCL"/>
                <w:sz w:val="15"/>
                <w:szCs w:val="15"/>
              </w:rPr>
              <w:t>Transporte de pasajeros por agua</w:t>
            </w: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16</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501100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Transporte de pasajeros marítimo y de cabotaje</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17</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502100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Transporte de pasajeros por vías de navegación interiores</w:t>
            </w:r>
          </w:p>
        </w:tc>
      </w:tr>
      <w:tr w:rsidR="000703E3">
        <w:trPr>
          <w:trHeight w:val="300"/>
          <w:jc w:val="center"/>
        </w:trPr>
        <w:tc>
          <w:tcPr>
            <w:tcW w:w="1980" w:type="dxa"/>
          </w:tcPr>
          <w:p w:rsidR="000703E3" w:rsidRDefault="001F6939">
            <w:pPr>
              <w:jc w:val="both"/>
              <w:rPr>
                <w:rFonts w:ascii="gobCL" w:eastAsia="gobCL" w:hAnsi="gobCL" w:cs="gobCL"/>
                <w:sz w:val="15"/>
                <w:szCs w:val="15"/>
              </w:rPr>
            </w:pPr>
            <w:r>
              <w:rPr>
                <w:rFonts w:ascii="gobCL" w:eastAsia="gobCL" w:hAnsi="gobCL" w:cs="gobCL"/>
                <w:sz w:val="15"/>
                <w:szCs w:val="15"/>
              </w:rPr>
              <w:t>Transporte aéreo de pasajeros</w:t>
            </w: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18</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511000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Transporte de pasajeros por vía aérea</w:t>
            </w:r>
          </w:p>
        </w:tc>
      </w:tr>
      <w:tr w:rsidR="000703E3">
        <w:trPr>
          <w:trHeight w:val="300"/>
          <w:jc w:val="center"/>
        </w:trPr>
        <w:tc>
          <w:tcPr>
            <w:tcW w:w="1980" w:type="dxa"/>
          </w:tcPr>
          <w:p w:rsidR="000703E3" w:rsidRDefault="001F6939">
            <w:pPr>
              <w:jc w:val="both"/>
              <w:rPr>
                <w:rFonts w:ascii="gobCL" w:eastAsia="gobCL" w:hAnsi="gobCL" w:cs="gobCL"/>
                <w:sz w:val="15"/>
                <w:szCs w:val="15"/>
              </w:rPr>
            </w:pPr>
            <w:r>
              <w:rPr>
                <w:rFonts w:ascii="gobCL" w:eastAsia="gobCL" w:hAnsi="gobCL" w:cs="gobCL"/>
                <w:sz w:val="15"/>
                <w:szCs w:val="15"/>
              </w:rPr>
              <w:t>Alquiler de equipos de transporte</w:t>
            </w: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19</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771000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Alquiler de vehículos automotores sin chofer</w:t>
            </w:r>
          </w:p>
        </w:tc>
      </w:tr>
      <w:tr w:rsidR="000703E3">
        <w:trPr>
          <w:trHeight w:val="300"/>
          <w:jc w:val="center"/>
        </w:trPr>
        <w:tc>
          <w:tcPr>
            <w:tcW w:w="1980" w:type="dxa"/>
            <w:vMerge w:val="restart"/>
          </w:tcPr>
          <w:p w:rsidR="000703E3" w:rsidRDefault="001F6939">
            <w:pPr>
              <w:jc w:val="both"/>
              <w:rPr>
                <w:rFonts w:ascii="gobCL" w:eastAsia="gobCL" w:hAnsi="gobCL" w:cs="gobCL"/>
                <w:sz w:val="15"/>
                <w:szCs w:val="15"/>
              </w:rPr>
            </w:pPr>
            <w:r>
              <w:rPr>
                <w:rFonts w:ascii="gobCL" w:eastAsia="gobCL" w:hAnsi="gobCL" w:cs="gobCL"/>
                <w:sz w:val="15"/>
                <w:szCs w:val="15"/>
              </w:rPr>
              <w:t>Actividades de agencias de viajes y de otros servicios de reservas</w:t>
            </w: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20</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791100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agencias de viajes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21</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791200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operadores turísticos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22</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799000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Otros servicios de reservas y actividades conexas (incluye venta de entradas para teatro, y otros)</w:t>
            </w:r>
          </w:p>
        </w:tc>
      </w:tr>
      <w:tr w:rsidR="000703E3">
        <w:trPr>
          <w:trHeight w:val="300"/>
          <w:jc w:val="center"/>
        </w:trPr>
        <w:tc>
          <w:tcPr>
            <w:tcW w:w="1980" w:type="dxa"/>
            <w:vMerge w:val="restart"/>
          </w:tcPr>
          <w:p w:rsidR="000703E3" w:rsidRDefault="001F6939">
            <w:pPr>
              <w:rPr>
                <w:rFonts w:ascii="gobCL" w:eastAsia="gobCL" w:hAnsi="gobCL" w:cs="gobCL"/>
                <w:sz w:val="15"/>
                <w:szCs w:val="15"/>
              </w:rPr>
            </w:pPr>
            <w:r>
              <w:rPr>
                <w:rFonts w:ascii="gobCL" w:eastAsia="gobCL" w:hAnsi="gobCL" w:cs="gobCL"/>
                <w:sz w:val="15"/>
                <w:szCs w:val="15"/>
              </w:rPr>
              <w:t>Actividades culturales</w:t>
            </w:r>
            <w:r>
              <w:rPr>
                <w:sz w:val="15"/>
                <w:szCs w:val="15"/>
              </w:rPr>
              <w:t> </w:t>
            </w:r>
          </w:p>
          <w:p w:rsidR="000703E3" w:rsidRDefault="000703E3">
            <w:pPr>
              <w:rPr>
                <w:rFonts w:ascii="gobCL" w:eastAsia="gobCL" w:hAnsi="gobCL" w:cs="gobCL"/>
                <w:sz w:val="15"/>
                <w:szCs w:val="15"/>
              </w:rPr>
            </w:pP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23</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900001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Servicios de producción de obras de teatro, conciertos, espectáculos de danza, otras prod. Escénicas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24</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900002</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artísticas realizadas por bandas de música, compañías de teatro, circenses y similares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25</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900009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creativas, artísticas y de entretenimiento n.c.p.</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26</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910200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museos, gestión de lugares y edificios históricos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27</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910300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jardines botánicos, zoológicos y reservas naturales</w:t>
            </w:r>
          </w:p>
        </w:tc>
      </w:tr>
      <w:tr w:rsidR="000703E3">
        <w:trPr>
          <w:trHeight w:val="300"/>
          <w:jc w:val="center"/>
        </w:trPr>
        <w:tc>
          <w:tcPr>
            <w:tcW w:w="1980" w:type="dxa"/>
            <w:vMerge w:val="restart"/>
          </w:tcPr>
          <w:p w:rsidR="000703E3" w:rsidRDefault="001F6939">
            <w:pPr>
              <w:jc w:val="both"/>
              <w:rPr>
                <w:rFonts w:ascii="gobCL" w:eastAsia="gobCL" w:hAnsi="gobCL" w:cs="gobCL"/>
                <w:sz w:val="15"/>
                <w:szCs w:val="15"/>
              </w:rPr>
            </w:pPr>
            <w:r>
              <w:rPr>
                <w:rFonts w:ascii="gobCL" w:eastAsia="gobCL" w:hAnsi="gobCL" w:cs="gobCL"/>
                <w:sz w:val="15"/>
                <w:szCs w:val="15"/>
              </w:rPr>
              <w:t>Actividades deportivas y recreativas</w:t>
            </w:r>
          </w:p>
          <w:p w:rsidR="000703E3" w:rsidRDefault="000703E3">
            <w:pPr>
              <w:rPr>
                <w:rFonts w:ascii="gobCL" w:eastAsia="gobCL" w:hAnsi="gobCL" w:cs="gobCL"/>
                <w:sz w:val="15"/>
                <w:szCs w:val="15"/>
              </w:rPr>
            </w:pPr>
          </w:p>
          <w:p w:rsidR="000703E3" w:rsidRDefault="000703E3">
            <w:pPr>
              <w:rPr>
                <w:rFonts w:ascii="gobCL" w:eastAsia="gobCL" w:hAnsi="gobCL" w:cs="gobCL"/>
                <w:sz w:val="15"/>
                <w:szCs w:val="15"/>
              </w:rPr>
            </w:pPr>
          </w:p>
          <w:p w:rsidR="000703E3" w:rsidRDefault="000703E3">
            <w:pPr>
              <w:rPr>
                <w:rFonts w:ascii="gobCL" w:eastAsia="gobCL" w:hAnsi="gobCL" w:cs="gobCL"/>
                <w:sz w:val="15"/>
                <w:szCs w:val="15"/>
              </w:rPr>
            </w:pPr>
          </w:p>
          <w:p w:rsidR="000703E3" w:rsidRDefault="000703E3">
            <w:pPr>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28</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772100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Alquiler y arrendamiento de equipo recreativo y deportivo</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29</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920010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casinos de juegos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30</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920090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 juegos de azar y apuestas n.c.p.</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31</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931101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Hipódromos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32</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931109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Gestión de otras instalaciones deportivas n.c.p.</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33</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931901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Promoción y organización de competencias deportivas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34</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931909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deportivas n.c.p.</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35</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932100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de parques de atracciones y parques temáticos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36</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932901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Gestión de salas de pool; gestión (explotación) de juegos electrónicos</w:t>
            </w:r>
          </w:p>
        </w:tc>
      </w:tr>
      <w:tr w:rsidR="000703E3">
        <w:trPr>
          <w:trHeight w:val="300"/>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37</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932909</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Otras actividades de esparcimiento y recreativas n.c.p.</w:t>
            </w:r>
          </w:p>
        </w:tc>
      </w:tr>
      <w:tr w:rsidR="000703E3">
        <w:trPr>
          <w:trHeight w:val="300"/>
          <w:jc w:val="center"/>
        </w:trPr>
        <w:tc>
          <w:tcPr>
            <w:tcW w:w="1980" w:type="dxa"/>
          </w:tcPr>
          <w:p w:rsidR="000703E3" w:rsidRDefault="001F6939">
            <w:pPr>
              <w:jc w:val="both"/>
              <w:rPr>
                <w:rFonts w:ascii="gobCL" w:eastAsia="gobCL" w:hAnsi="gobCL" w:cs="gobCL"/>
                <w:sz w:val="15"/>
                <w:szCs w:val="15"/>
              </w:rPr>
            </w:pPr>
            <w:r>
              <w:rPr>
                <w:rFonts w:ascii="gobCL" w:eastAsia="gobCL" w:hAnsi="gobCL" w:cs="gobCL"/>
                <w:sz w:val="15"/>
                <w:szCs w:val="15"/>
              </w:rPr>
              <w:t>Comercio al por menor de bienes característicos del turismo</w:t>
            </w: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38</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477396</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Venta al por menor de recuerdos, artesanías y artículos religiosos en comercios especializados</w:t>
            </w:r>
          </w:p>
        </w:tc>
      </w:tr>
      <w:tr w:rsidR="000703E3">
        <w:trPr>
          <w:trHeight w:val="300"/>
          <w:jc w:val="center"/>
        </w:trPr>
        <w:tc>
          <w:tcPr>
            <w:tcW w:w="1980" w:type="dxa"/>
            <w:vMerge w:val="restart"/>
          </w:tcPr>
          <w:p w:rsidR="000703E3" w:rsidRDefault="001F6939">
            <w:pPr>
              <w:jc w:val="both"/>
              <w:rPr>
                <w:rFonts w:ascii="gobCL" w:eastAsia="gobCL" w:hAnsi="gobCL" w:cs="gobCL"/>
                <w:sz w:val="15"/>
                <w:szCs w:val="15"/>
              </w:rPr>
            </w:pPr>
            <w:r>
              <w:rPr>
                <w:rFonts w:ascii="gobCL" w:eastAsia="gobCL" w:hAnsi="gobCL" w:cs="gobCL"/>
                <w:sz w:val="15"/>
                <w:szCs w:val="15"/>
              </w:rPr>
              <w:t>Actividades relacionadas con segundos hogares y multipropiedades</w:t>
            </w:r>
            <w:r>
              <w:rPr>
                <w:sz w:val="15"/>
                <w:szCs w:val="15"/>
              </w:rPr>
              <w:t> </w:t>
            </w: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39</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681011</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Alquiler de bienes inmuebles amoblados o con equipos y maquinarias</w:t>
            </w:r>
          </w:p>
        </w:tc>
      </w:tr>
      <w:tr w:rsidR="000703E3">
        <w:trPr>
          <w:trHeight w:val="352"/>
          <w:jc w:val="center"/>
        </w:trPr>
        <w:tc>
          <w:tcPr>
            <w:tcW w:w="1980" w:type="dxa"/>
            <w:vMerge/>
          </w:tcPr>
          <w:p w:rsidR="000703E3" w:rsidRDefault="000703E3">
            <w:pPr>
              <w:widowControl w:val="0"/>
              <w:pBdr>
                <w:top w:val="nil"/>
                <w:left w:val="nil"/>
                <w:bottom w:val="nil"/>
                <w:right w:val="nil"/>
                <w:between w:val="nil"/>
              </w:pBdr>
              <w:spacing w:line="276" w:lineRule="auto"/>
              <w:rPr>
                <w:rFonts w:ascii="gobCL" w:eastAsia="gobCL" w:hAnsi="gobCL" w:cs="gobCL"/>
                <w:sz w:val="15"/>
                <w:szCs w:val="15"/>
              </w:rPr>
            </w:pPr>
          </w:p>
        </w:tc>
        <w:tc>
          <w:tcPr>
            <w:tcW w:w="425" w:type="dxa"/>
          </w:tcPr>
          <w:p w:rsidR="000703E3" w:rsidRDefault="001F6939">
            <w:pPr>
              <w:jc w:val="center"/>
              <w:rPr>
                <w:rFonts w:ascii="gobCL" w:eastAsia="gobCL" w:hAnsi="gobCL" w:cs="gobCL"/>
                <w:sz w:val="15"/>
                <w:szCs w:val="15"/>
              </w:rPr>
            </w:pPr>
            <w:r>
              <w:rPr>
                <w:rFonts w:ascii="gobCL" w:eastAsia="gobCL" w:hAnsi="gobCL" w:cs="gobCL"/>
                <w:sz w:val="15"/>
                <w:szCs w:val="15"/>
              </w:rPr>
              <w:t>40</w:t>
            </w:r>
          </w:p>
        </w:tc>
        <w:tc>
          <w:tcPr>
            <w:tcW w:w="851" w:type="dxa"/>
          </w:tcPr>
          <w:p w:rsidR="000703E3" w:rsidRDefault="001F6939">
            <w:pPr>
              <w:rPr>
                <w:rFonts w:ascii="gobCL" w:eastAsia="gobCL" w:hAnsi="gobCL" w:cs="gobCL"/>
                <w:sz w:val="15"/>
                <w:szCs w:val="15"/>
              </w:rPr>
            </w:pPr>
            <w:r>
              <w:rPr>
                <w:rFonts w:ascii="gobCL" w:eastAsia="gobCL" w:hAnsi="gobCL" w:cs="gobCL"/>
                <w:sz w:val="15"/>
                <w:szCs w:val="15"/>
              </w:rPr>
              <w:t>682000</w:t>
            </w:r>
          </w:p>
        </w:tc>
        <w:tc>
          <w:tcPr>
            <w:tcW w:w="5572" w:type="dxa"/>
          </w:tcPr>
          <w:p w:rsidR="000703E3" w:rsidRDefault="001F6939">
            <w:pPr>
              <w:rPr>
                <w:rFonts w:ascii="gobCL" w:eastAsia="gobCL" w:hAnsi="gobCL" w:cs="gobCL"/>
                <w:sz w:val="15"/>
                <w:szCs w:val="15"/>
              </w:rPr>
            </w:pPr>
            <w:r>
              <w:rPr>
                <w:rFonts w:ascii="gobCL" w:eastAsia="gobCL" w:hAnsi="gobCL" w:cs="gobCL"/>
                <w:sz w:val="15"/>
                <w:szCs w:val="15"/>
              </w:rPr>
              <w:t xml:space="preserve"> Actividades inmobiliarias realizadas a cambio de una retribución o por contrata</w:t>
            </w:r>
          </w:p>
        </w:tc>
      </w:tr>
    </w:tbl>
    <w:p w:rsidR="000703E3" w:rsidRDefault="000703E3">
      <w:pPr>
        <w:rPr>
          <w:rFonts w:ascii="gobCL" w:eastAsia="gobCL" w:hAnsi="gobCL" w:cs="gobCL"/>
          <w:sz w:val="14"/>
          <w:szCs w:val="14"/>
        </w:rPr>
      </w:pPr>
    </w:p>
    <w:p w:rsidR="000703E3" w:rsidRDefault="001F6939">
      <w:pPr>
        <w:rPr>
          <w:rFonts w:ascii="gobCL" w:eastAsia="gobCL" w:hAnsi="gobCL" w:cs="gobCL"/>
          <w:sz w:val="14"/>
          <w:szCs w:val="14"/>
        </w:rPr>
      </w:pPr>
      <w:r>
        <w:rPr>
          <w:rFonts w:ascii="gobCL" w:eastAsia="gobCL" w:hAnsi="gobCL" w:cs="gobCL"/>
          <w:sz w:val="14"/>
          <w:szCs w:val="14"/>
        </w:rPr>
        <w:t>Elaboración: Departamento de Estadísticas, SERNATUR.</w:t>
      </w:r>
    </w:p>
    <w:p w:rsidR="000703E3" w:rsidRDefault="001F6939">
      <w:pPr>
        <w:rPr>
          <w:rFonts w:ascii="gobCL" w:eastAsia="gobCL" w:hAnsi="gobCL" w:cs="gobCL"/>
          <w:u w:val="single"/>
        </w:rPr>
      </w:pPr>
      <w:r>
        <w:rPr>
          <w:rFonts w:ascii="gobCL" w:eastAsia="gobCL" w:hAnsi="gobCL" w:cs="gobCL"/>
          <w:sz w:val="14"/>
          <w:szCs w:val="14"/>
        </w:rPr>
        <w:t>El criterio para definir las ACT se basó en las Recomendaciones Internacionales para Estadísticas de Turismo 2008 (RIET 2008), elaboradas por la Organización Mundial del Turismo (OMT) de las Naciones Unidas (ONU).</w:t>
      </w:r>
    </w:p>
    <w:p w:rsidR="000703E3" w:rsidRDefault="001F6939">
      <w:pPr>
        <w:jc w:val="center"/>
        <w:rPr>
          <w:rFonts w:ascii="gobCL" w:eastAsia="gobCL" w:hAnsi="gobCL" w:cs="gobCL"/>
          <w:b/>
          <w:sz w:val="20"/>
          <w:szCs w:val="20"/>
        </w:rPr>
      </w:pPr>
      <w:r>
        <w:rPr>
          <w:rFonts w:ascii="gobCL" w:eastAsia="gobCL" w:hAnsi="gobCL" w:cs="gobCL"/>
          <w:u w:val="single"/>
        </w:rPr>
        <w:t>Definiciones de los tipos de servicios turísticos</w:t>
      </w:r>
    </w:p>
    <w:p w:rsidR="000703E3" w:rsidRDefault="001F6939">
      <w:pPr>
        <w:widowControl w:val="0"/>
        <w:pBdr>
          <w:top w:val="nil"/>
          <w:left w:val="nil"/>
          <w:bottom w:val="nil"/>
          <w:right w:val="nil"/>
          <w:between w:val="nil"/>
        </w:pBdr>
        <w:spacing w:before="100" w:after="0" w:line="240" w:lineRule="auto"/>
        <w:ind w:left="119" w:right="100"/>
        <w:jc w:val="both"/>
        <w:rPr>
          <w:rFonts w:ascii="gobCL" w:eastAsia="gobCL" w:hAnsi="gobCL" w:cs="gobCL"/>
          <w:color w:val="000000"/>
        </w:rPr>
      </w:pPr>
      <w:r>
        <w:rPr>
          <w:rFonts w:ascii="gobCL" w:eastAsia="gobCL" w:hAnsi="gobCL" w:cs="gobCL"/>
          <w:color w:val="000000"/>
        </w:rPr>
        <w:t>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de que pertenezca al sector público o al privado, que venda, ofrezca para su venta, suministre o se comprometa a suministrar un servicio turística a turistas.</w:t>
      </w:r>
    </w:p>
    <w:p w:rsidR="000703E3" w:rsidRDefault="000703E3">
      <w:pPr>
        <w:widowControl w:val="0"/>
        <w:pBdr>
          <w:top w:val="nil"/>
          <w:left w:val="nil"/>
          <w:bottom w:val="nil"/>
          <w:right w:val="nil"/>
          <w:between w:val="nil"/>
        </w:pBdr>
        <w:spacing w:before="10"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546"/>
        </w:tabs>
        <w:spacing w:before="1"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alojamiento turístico: </w:t>
      </w:r>
      <w:r>
        <w:rPr>
          <w:rFonts w:ascii="gobCL" w:eastAsia="gobCL" w:hAnsi="gobCL" w:cs="gobCL"/>
          <w:color w:val="000000"/>
        </w:rPr>
        <w:t>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rsidR="000703E3" w:rsidRDefault="000703E3">
      <w:pPr>
        <w:widowControl w:val="0"/>
        <w:pBdr>
          <w:top w:val="nil"/>
          <w:left w:val="nil"/>
          <w:bottom w:val="nil"/>
          <w:right w:val="nil"/>
          <w:between w:val="nil"/>
        </w:pBdr>
        <w:spacing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4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restaurantes y similares: </w:t>
      </w:r>
      <w:r>
        <w:rPr>
          <w:rFonts w:ascii="gobCL" w:eastAsia="gobCL" w:hAnsi="gobCL" w:cs="gobCL"/>
          <w:color w:val="000000"/>
        </w:rPr>
        <w:t>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rsidR="000703E3" w:rsidRDefault="000703E3">
      <w:pPr>
        <w:widowControl w:val="0"/>
        <w:pBdr>
          <w:top w:val="nil"/>
          <w:left w:val="nil"/>
          <w:bottom w:val="nil"/>
          <w:right w:val="nil"/>
          <w:between w:val="nil"/>
        </w:pBdr>
        <w:spacing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22"/>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agencia de viajes: </w:t>
      </w:r>
      <w:r>
        <w:rPr>
          <w:rFonts w:ascii="gobCL" w:eastAsia="gobCL" w:hAnsi="gobCL" w:cs="gobCL"/>
          <w:color w:val="000000"/>
        </w:rPr>
        <w:t>persona natural o jurídica que act</w:t>
      </w:r>
      <w:r>
        <w:rPr>
          <w:rFonts w:ascii="gobCL" w:eastAsia="gobCL" w:hAnsi="gobCL" w:cs="gobCL"/>
          <w:smallCaps/>
          <w:color w:val="000000"/>
        </w:rPr>
        <w:t>ú</w:t>
      </w:r>
      <w:r>
        <w:rPr>
          <w:rFonts w:ascii="gobCL" w:eastAsia="gobCL" w:hAnsi="gobCL" w:cs="gobCL"/>
          <w:color w:val="000000"/>
        </w:rPr>
        <w:t>a como intermediario entre el proveedor de servicios turísticos y/o tour operador y el usuario final o cliente, entregándole asesoría para la planificación y compra de su viaje.</w:t>
      </w:r>
    </w:p>
    <w:p w:rsidR="000703E3" w:rsidRDefault="000703E3">
      <w:pPr>
        <w:widowControl w:val="0"/>
        <w:pBdr>
          <w:top w:val="nil"/>
          <w:left w:val="nil"/>
          <w:bottom w:val="nil"/>
          <w:right w:val="nil"/>
          <w:between w:val="nil"/>
        </w:pBdr>
        <w:spacing w:before="2"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504"/>
        </w:tabs>
        <w:spacing w:after="0" w:line="240" w:lineRule="auto"/>
        <w:ind w:right="100" w:firstLine="0"/>
        <w:jc w:val="both"/>
        <w:rPr>
          <w:rFonts w:ascii="gobCL" w:eastAsia="gobCL" w:hAnsi="gobCL" w:cs="gobCL"/>
          <w:color w:val="000000"/>
        </w:rPr>
      </w:pPr>
      <w:r>
        <w:rPr>
          <w:rFonts w:ascii="gobCL" w:eastAsia="gobCL" w:hAnsi="gobCL" w:cs="gobCL"/>
          <w:b/>
          <w:color w:val="000000"/>
        </w:rPr>
        <w:t>Servicios de tour operador u operador mayorista</w:t>
      </w:r>
      <w:r>
        <w:rPr>
          <w:rFonts w:ascii="gobCL" w:eastAsia="gobCL" w:hAnsi="gobCL" w:cs="gobCL"/>
          <w:color w:val="000000"/>
        </w:rPr>
        <w:t>: persona natural o jurídica que diseña y provee paquetes, productos o servicios turísticos, propios o de terceros, los cuales pueden comprender transporte, alojamiento y otros servicios turísticos.</w:t>
      </w:r>
    </w:p>
    <w:p w:rsidR="000703E3" w:rsidRDefault="000703E3">
      <w:pPr>
        <w:widowControl w:val="0"/>
        <w:pBdr>
          <w:top w:val="nil"/>
          <w:left w:val="nil"/>
          <w:bottom w:val="nil"/>
          <w:right w:val="nil"/>
          <w:between w:val="nil"/>
        </w:pBdr>
        <w:spacing w:before="10"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50"/>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vía terrestre: </w:t>
      </w:r>
      <w:r>
        <w:rPr>
          <w:rFonts w:ascii="gobCL" w:eastAsia="gobCL" w:hAnsi="gobCL" w:cs="gobCL"/>
          <w:color w:val="000000"/>
        </w:rPr>
        <w:t>corresponde a las personas naturales o jurídicas que proveen el servicio de transporte de pasajeros, por    vía    terrestre, los    cuales    podrán    clasificarse    en:</w:t>
      </w:r>
    </w:p>
    <w:p w:rsidR="000703E3" w:rsidRDefault="000703E3">
      <w:pPr>
        <w:widowControl w:val="0"/>
        <w:pBdr>
          <w:top w:val="nil"/>
          <w:left w:val="nil"/>
          <w:bottom w:val="nil"/>
          <w:right w:val="nil"/>
          <w:between w:val="nil"/>
        </w:pBdr>
        <w:spacing w:before="3" w:after="0" w:line="240" w:lineRule="auto"/>
        <w:rPr>
          <w:rFonts w:ascii="gobCL" w:eastAsia="gobCL" w:hAnsi="gobCL" w:cs="gobCL"/>
          <w:color w:val="000000"/>
        </w:rPr>
      </w:pPr>
    </w:p>
    <w:p w:rsidR="000703E3" w:rsidRDefault="001F6939">
      <w:pPr>
        <w:widowControl w:val="0"/>
        <w:numPr>
          <w:ilvl w:val="0"/>
          <w:numId w:val="8"/>
        </w:numPr>
        <w:pBdr>
          <w:top w:val="nil"/>
          <w:left w:val="nil"/>
          <w:bottom w:val="nil"/>
          <w:right w:val="nil"/>
          <w:between w:val="nil"/>
        </w:pBdr>
        <w:tabs>
          <w:tab w:val="left" w:pos="709"/>
          <w:tab w:val="left" w:pos="851"/>
        </w:tabs>
        <w:spacing w:before="42" w:after="0" w:line="240" w:lineRule="auto"/>
        <w:ind w:left="709" w:right="100" w:hanging="283"/>
        <w:jc w:val="both"/>
        <w:rPr>
          <w:rFonts w:ascii="gobCL" w:eastAsia="gobCL" w:hAnsi="gobCL" w:cs="gobCL"/>
          <w:color w:val="000000"/>
        </w:rPr>
      </w:pPr>
      <w:r>
        <w:rPr>
          <w:rFonts w:ascii="gobCL" w:eastAsia="gobCL" w:hAnsi="gobCL" w:cs="gobCL"/>
          <w:b/>
          <w:color w:val="000000"/>
        </w:rPr>
        <w:t xml:space="preserve">Servicio de transporte de pasajeros por carretera interurbana: comprende a las personas </w:t>
      </w:r>
      <w:r>
        <w:rPr>
          <w:rFonts w:ascii="gobCL" w:eastAsia="gobCL" w:hAnsi="gobCL" w:cs="gobCL"/>
          <w:color w:val="000000"/>
        </w:rPr>
        <w:t>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rsidR="000703E3" w:rsidRDefault="000703E3">
      <w:pPr>
        <w:widowControl w:val="0"/>
        <w:pBdr>
          <w:top w:val="nil"/>
          <w:left w:val="nil"/>
          <w:bottom w:val="nil"/>
          <w:right w:val="nil"/>
          <w:between w:val="nil"/>
        </w:pBdr>
        <w:spacing w:before="12" w:after="0" w:line="240" w:lineRule="auto"/>
        <w:rPr>
          <w:rFonts w:ascii="gobCL" w:eastAsia="gobCL" w:hAnsi="gobCL" w:cs="gobCL"/>
          <w:color w:val="000000"/>
        </w:rPr>
      </w:pPr>
    </w:p>
    <w:p w:rsidR="000703E3" w:rsidRDefault="001F6939">
      <w:pPr>
        <w:widowControl w:val="0"/>
        <w:numPr>
          <w:ilvl w:val="0"/>
          <w:numId w:val="8"/>
        </w:numPr>
        <w:pBdr>
          <w:top w:val="nil"/>
          <w:left w:val="nil"/>
          <w:bottom w:val="nil"/>
          <w:right w:val="nil"/>
          <w:between w:val="nil"/>
        </w:pBdr>
        <w:tabs>
          <w:tab w:val="left" w:pos="709"/>
          <w:tab w:val="left" w:pos="851"/>
        </w:tabs>
        <w:spacing w:before="42" w:after="0" w:line="240" w:lineRule="auto"/>
        <w:ind w:left="709" w:right="100" w:hanging="283"/>
        <w:jc w:val="both"/>
        <w:rPr>
          <w:rFonts w:ascii="gobCL" w:eastAsia="gobCL" w:hAnsi="gobCL" w:cs="gobCL"/>
          <w:color w:val="000000"/>
        </w:rPr>
      </w:pPr>
      <w:r>
        <w:rPr>
          <w:rFonts w:ascii="gobCL" w:eastAsia="gobCL" w:hAnsi="gobCL" w:cs="gobCL"/>
          <w:color w:val="000000"/>
        </w:rPr>
        <w:t xml:space="preserve">Servicio de taxis y buses de turismo: comprende a las personas naturales o jurídicas que proveen el servicio de </w:t>
      </w:r>
      <w:r>
        <w:rPr>
          <w:rFonts w:ascii="gobCL" w:eastAsia="gobCL" w:hAnsi="gobCL" w:cs="gobCL"/>
          <w:b/>
          <w:color w:val="000000"/>
        </w:rPr>
        <w:t>transporte</w:t>
      </w:r>
      <w:r>
        <w:rPr>
          <w:rFonts w:ascii="gobCL" w:eastAsia="gobCL" w:hAnsi="gobCL" w:cs="gobCL"/>
          <w:color w:val="000000"/>
        </w:rPr>
        <w:t xml:space="preserve"> de pasajeros mediante taxis y radiotaxis de turismo, servicios de excursión en autobuses y servicios ocasionales de transporte en autobuses. Este tipo incluye el servicio de transporte no regular de pasajeros, dedicados principalmente a realizar recorridos turísticos en        ciudades o sitios de interés.</w:t>
      </w:r>
    </w:p>
    <w:p w:rsidR="000703E3" w:rsidRDefault="000703E3">
      <w:pPr>
        <w:widowControl w:val="0"/>
        <w:pBdr>
          <w:top w:val="nil"/>
          <w:left w:val="nil"/>
          <w:bottom w:val="nil"/>
          <w:right w:val="nil"/>
          <w:between w:val="nil"/>
        </w:pBdr>
        <w:spacing w:before="11" w:after="0" w:line="240" w:lineRule="auto"/>
        <w:rPr>
          <w:rFonts w:ascii="gobCL" w:eastAsia="gobCL" w:hAnsi="gobCL" w:cs="gobCL"/>
          <w:color w:val="000000"/>
        </w:rPr>
      </w:pPr>
    </w:p>
    <w:p w:rsidR="000703E3" w:rsidRDefault="001F6939">
      <w:pPr>
        <w:widowControl w:val="0"/>
        <w:numPr>
          <w:ilvl w:val="0"/>
          <w:numId w:val="8"/>
        </w:numPr>
        <w:pBdr>
          <w:top w:val="nil"/>
          <w:left w:val="nil"/>
          <w:bottom w:val="nil"/>
          <w:right w:val="nil"/>
          <w:between w:val="nil"/>
        </w:pBdr>
        <w:tabs>
          <w:tab w:val="left" w:pos="709"/>
          <w:tab w:val="left" w:pos="851"/>
        </w:tabs>
        <w:spacing w:before="42" w:after="0" w:line="240" w:lineRule="auto"/>
        <w:ind w:left="709" w:right="100" w:hanging="283"/>
        <w:jc w:val="both"/>
        <w:rPr>
          <w:rFonts w:ascii="gobCL" w:eastAsia="gobCL" w:hAnsi="gobCL" w:cs="gobCL"/>
          <w:color w:val="000000"/>
        </w:rPr>
      </w:pPr>
      <w:r>
        <w:rPr>
          <w:rFonts w:ascii="gobCL" w:eastAsia="gobCL" w:hAnsi="gobCL" w:cs="gobCL"/>
          <w:color w:val="000000"/>
        </w:rPr>
        <w:t>Servicio de transporte permanente de pasajeros al aeropuerto: comprende a las personas naturales o jurídicas que proveen el servicio de transporte permanente de pasajeros mediante el traslado terrestre desde y hacia los aeropuertos o aeródromos.</w:t>
      </w:r>
    </w:p>
    <w:p w:rsidR="000703E3" w:rsidRDefault="000703E3">
      <w:pPr>
        <w:widowControl w:val="0"/>
        <w:pBdr>
          <w:top w:val="nil"/>
          <w:left w:val="nil"/>
          <w:bottom w:val="nil"/>
          <w:right w:val="nil"/>
          <w:between w:val="nil"/>
        </w:pBdr>
        <w:spacing w:before="3"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12"/>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vía marítima: </w:t>
      </w:r>
      <w:r>
        <w:rPr>
          <w:rFonts w:ascii="gobCL" w:eastAsia="gobCL" w:hAnsi="gobCL" w:cs="gobCL"/>
          <w:color w:val="000000"/>
        </w:rPr>
        <w:t>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rsidR="000703E3" w:rsidRDefault="000703E3">
      <w:pPr>
        <w:widowControl w:val="0"/>
        <w:pBdr>
          <w:top w:val="nil"/>
          <w:left w:val="nil"/>
          <w:bottom w:val="nil"/>
          <w:right w:val="nil"/>
          <w:between w:val="nil"/>
        </w:pBdr>
        <w:spacing w:before="11"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85"/>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vía aérea: </w:t>
      </w:r>
      <w:r>
        <w:rPr>
          <w:rFonts w:ascii="gobCL" w:eastAsia="gobCL" w:hAnsi="gobCL" w:cs="gobCL"/>
          <w:color w:val="000000"/>
        </w:rPr>
        <w:t>comprende a las personas naturales o jurídicas que proveen el servicio de transporte regular de pasajeros por vía aérea, que tienen un itinerario determinado, y las que prestan servicios de excursiones por vía aérea. Se debe incluir además el servicio de chárter.</w:t>
      </w:r>
    </w:p>
    <w:p w:rsidR="000703E3" w:rsidRDefault="000703E3">
      <w:pPr>
        <w:widowControl w:val="0"/>
        <w:pBdr>
          <w:top w:val="nil"/>
          <w:left w:val="nil"/>
          <w:bottom w:val="nil"/>
          <w:right w:val="nil"/>
          <w:between w:val="nil"/>
        </w:pBdr>
        <w:spacing w:before="1"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7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transporte de pasajeros por ferrocarril: </w:t>
      </w:r>
      <w:r>
        <w:rPr>
          <w:rFonts w:ascii="gobCL" w:eastAsia="gobCL" w:hAnsi="gobCL" w:cs="gobCL"/>
          <w:color w:val="000000"/>
        </w:rPr>
        <w:t>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rsidR="000703E3" w:rsidRDefault="000703E3">
      <w:pPr>
        <w:widowControl w:val="0"/>
        <w:pBdr>
          <w:top w:val="nil"/>
          <w:left w:val="nil"/>
          <w:bottom w:val="nil"/>
          <w:right w:val="nil"/>
          <w:between w:val="nil"/>
        </w:pBdr>
        <w:spacing w:before="10"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7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 de arriendo de vehículos: </w:t>
      </w:r>
      <w:r>
        <w:rPr>
          <w:rFonts w:ascii="gobCL" w:eastAsia="gobCL" w:hAnsi="gobCL" w:cs="gobCL"/>
          <w:color w:val="000000"/>
        </w:rPr>
        <w:t>comprende a las personas naturales o jurídicas que proveen el servicio de alquiler de automóviles, camionetas, van, furgones, motos, vehículos todo terreno u otro vehículo motorizado, sin conductor por horas, días u otros períodos de tiempo.</w:t>
      </w:r>
    </w:p>
    <w:p w:rsidR="000703E3" w:rsidRDefault="000703E3">
      <w:pPr>
        <w:widowControl w:val="0"/>
        <w:pBdr>
          <w:top w:val="nil"/>
          <w:left w:val="nil"/>
          <w:bottom w:val="nil"/>
          <w:right w:val="nil"/>
          <w:between w:val="nil"/>
        </w:pBdr>
        <w:spacing w:before="11"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78"/>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turismo aventura: </w:t>
      </w:r>
      <w:r>
        <w:rPr>
          <w:rFonts w:ascii="gobCL" w:eastAsia="gobCL" w:hAnsi="gobCL" w:cs="gobCL"/>
          <w:color w:val="000000"/>
        </w:rPr>
        <w:t>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rsidR="000703E3" w:rsidRDefault="000703E3">
      <w:pPr>
        <w:widowControl w:val="0"/>
        <w:pBdr>
          <w:top w:val="nil"/>
          <w:left w:val="nil"/>
          <w:bottom w:val="nil"/>
          <w:right w:val="nil"/>
          <w:between w:val="nil"/>
        </w:pBdr>
        <w:spacing w:before="3"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87"/>
        </w:tabs>
        <w:spacing w:after="0" w:line="240" w:lineRule="auto"/>
        <w:ind w:right="100" w:firstLine="0"/>
        <w:jc w:val="both"/>
        <w:rPr>
          <w:rFonts w:ascii="gobCL" w:eastAsia="gobCL" w:hAnsi="gobCL" w:cs="gobCL"/>
          <w:color w:val="000000"/>
        </w:rPr>
      </w:pPr>
      <w:r>
        <w:rPr>
          <w:rFonts w:ascii="gobCL" w:eastAsia="gobCL" w:hAnsi="gobCL" w:cs="gobCL"/>
          <w:b/>
          <w:color w:val="000000"/>
        </w:rPr>
        <w:t>Servicios deportivos</w:t>
      </w:r>
      <w:r>
        <w:rPr>
          <w:rFonts w:ascii="gobCL" w:eastAsia="gobCL" w:hAnsi="gobCL" w:cs="gobCL"/>
          <w:color w:val="000000"/>
        </w:rPr>
        <w:t>: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rsidR="000703E3" w:rsidRDefault="000703E3">
      <w:pPr>
        <w:widowControl w:val="0"/>
        <w:pBdr>
          <w:top w:val="nil"/>
          <w:left w:val="nil"/>
          <w:bottom w:val="nil"/>
          <w:right w:val="nil"/>
          <w:between w:val="nil"/>
        </w:pBdr>
        <w:spacing w:before="10"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323"/>
        </w:tabs>
        <w:spacing w:after="0" w:line="240" w:lineRule="auto"/>
        <w:ind w:right="100" w:firstLine="0"/>
        <w:jc w:val="both"/>
        <w:rPr>
          <w:rFonts w:ascii="gobCL" w:eastAsia="gobCL" w:hAnsi="gobCL" w:cs="gobCL"/>
          <w:color w:val="000000"/>
        </w:rPr>
      </w:pPr>
      <w:r>
        <w:rPr>
          <w:rFonts w:ascii="gobCL" w:eastAsia="gobCL" w:hAnsi="gobCL" w:cs="gobCL"/>
          <w:b/>
          <w:color w:val="000000"/>
        </w:rPr>
        <w:t>Servicios de esparcimiento</w:t>
      </w:r>
      <w:r>
        <w:rPr>
          <w:rFonts w:ascii="gobCL" w:eastAsia="gobCL" w:hAnsi="gobCL" w:cs="gobCL"/>
          <w:color w:val="000000"/>
        </w:rPr>
        <w:t>: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rsidR="000703E3" w:rsidRDefault="000703E3">
      <w:pPr>
        <w:widowControl w:val="0"/>
        <w:pBdr>
          <w:top w:val="nil"/>
          <w:left w:val="nil"/>
          <w:bottom w:val="nil"/>
          <w:right w:val="nil"/>
          <w:between w:val="nil"/>
        </w:pBdr>
        <w:spacing w:before="1"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92"/>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producción artesanal: </w:t>
      </w:r>
      <w:r>
        <w:rPr>
          <w:rFonts w:ascii="gobCL" w:eastAsia="gobCL" w:hAnsi="gobCL" w:cs="gobCL"/>
          <w:color w:val="000000"/>
        </w:rPr>
        <w:t>comprende a las personas naturales o jurídicas que comercializan y exhiben productos y objetos elaborados manualmente a pequeña escala. Se clasifican en:</w:t>
      </w:r>
    </w:p>
    <w:p w:rsidR="000703E3" w:rsidRDefault="000703E3">
      <w:pPr>
        <w:widowControl w:val="0"/>
        <w:pBdr>
          <w:top w:val="nil"/>
          <w:left w:val="nil"/>
          <w:bottom w:val="nil"/>
          <w:right w:val="nil"/>
          <w:between w:val="nil"/>
        </w:pBdr>
        <w:spacing w:before="11" w:after="0" w:line="240" w:lineRule="auto"/>
        <w:rPr>
          <w:rFonts w:ascii="gobCL" w:eastAsia="gobCL" w:hAnsi="gobCL" w:cs="gobCL"/>
          <w:color w:val="000000"/>
        </w:rPr>
      </w:pPr>
    </w:p>
    <w:p w:rsidR="000703E3" w:rsidRDefault="001F6939">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Servicios de artesanía tradicional y/o contemporánea chilena: comprende a personas naturales o jurídicas que venden y/o exhiben artesanía tradicional y/o contemporánea chilena.</w:t>
      </w:r>
    </w:p>
    <w:p w:rsidR="000703E3" w:rsidRDefault="001F6939">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Servicios de artesanía extranjera: comprende a personas naturales o jurídicas que venden y/o exhiben artesanía no comprendidas en la letra anterior.</w:t>
      </w:r>
    </w:p>
    <w:p w:rsidR="000703E3" w:rsidRDefault="001F6939">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Servicios de productos agroelaborados: comprende a personas naturales o jurídicas que venden y/o exhiben productos elaborados a partir de insumos agrícolas, tales como alimentos, licores, cosméticos o productos para el bienestar personal.</w:t>
      </w:r>
    </w:p>
    <w:p w:rsidR="000703E3" w:rsidRDefault="001F6939">
      <w:pPr>
        <w:widowControl w:val="0"/>
        <w:numPr>
          <w:ilvl w:val="1"/>
          <w:numId w:val="12"/>
        </w:numPr>
        <w:pBdr>
          <w:top w:val="nil"/>
          <w:left w:val="nil"/>
          <w:bottom w:val="nil"/>
          <w:right w:val="nil"/>
          <w:between w:val="nil"/>
        </w:pBdr>
        <w:tabs>
          <w:tab w:val="left" w:pos="709"/>
          <w:tab w:val="left" w:pos="2016"/>
          <w:tab w:val="left" w:pos="4074"/>
          <w:tab w:val="left" w:pos="5273"/>
          <w:tab w:val="left" w:pos="8026"/>
        </w:tabs>
        <w:spacing w:after="0" w:line="240" w:lineRule="auto"/>
        <w:ind w:left="709" w:right="100" w:hanging="283"/>
        <w:jc w:val="both"/>
        <w:rPr>
          <w:rFonts w:ascii="gobCL" w:eastAsia="gobCL" w:hAnsi="gobCL" w:cs="gobCL"/>
          <w:color w:val="000000"/>
        </w:rPr>
      </w:pPr>
      <w:r>
        <w:rPr>
          <w:rFonts w:ascii="gobCL" w:eastAsia="gobCL" w:hAnsi="gobCL" w:cs="gobCL"/>
          <w:color w:val="000000"/>
        </w:rPr>
        <w:t>Manualidades: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rsidR="000703E3" w:rsidRDefault="000703E3">
      <w:pPr>
        <w:widowControl w:val="0"/>
        <w:pBdr>
          <w:top w:val="nil"/>
          <w:left w:val="nil"/>
          <w:bottom w:val="nil"/>
          <w:right w:val="nil"/>
          <w:between w:val="nil"/>
        </w:pBdr>
        <w:spacing w:before="1" w:after="0" w:line="240" w:lineRule="auto"/>
        <w:ind w:left="851" w:hanging="567"/>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50"/>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de souvenir: </w:t>
      </w:r>
      <w:r>
        <w:rPr>
          <w:rFonts w:ascii="gobCL" w:eastAsia="gobCL" w:hAnsi="gobCL" w:cs="gobCL"/>
          <w:color w:val="000000"/>
        </w:rPr>
        <w:t>comprenden a personas naturales o jurídica que ofrecen objetos que sirven como recuerdo de la visita a alg</w:t>
      </w:r>
      <w:r>
        <w:rPr>
          <w:rFonts w:ascii="gobCL" w:eastAsia="gobCL" w:hAnsi="gobCL" w:cs="gobCL"/>
          <w:smallCaps/>
          <w:color w:val="000000"/>
        </w:rPr>
        <w:t>ú</w:t>
      </w:r>
      <w:r>
        <w:rPr>
          <w:rFonts w:ascii="gobCL" w:eastAsia="gobCL" w:hAnsi="gobCL" w:cs="gobCL"/>
          <w:color w:val="000000"/>
        </w:rPr>
        <w:t>n lugar determinado, pudiendo utilizar para su elaboración maquinaria u otra tecnología.</w:t>
      </w:r>
    </w:p>
    <w:p w:rsidR="000703E3" w:rsidRDefault="000703E3">
      <w:pPr>
        <w:widowControl w:val="0"/>
        <w:pBdr>
          <w:top w:val="nil"/>
          <w:left w:val="nil"/>
          <w:bottom w:val="nil"/>
          <w:right w:val="nil"/>
          <w:between w:val="nil"/>
        </w:pBdr>
        <w:spacing w:before="2" w:after="0" w:line="240" w:lineRule="auto"/>
        <w:rPr>
          <w:rFonts w:ascii="gobCL" w:eastAsia="gobCL" w:hAnsi="gobCL" w:cs="gobCL"/>
          <w:color w:val="000000"/>
        </w:rPr>
      </w:pPr>
    </w:p>
    <w:p w:rsidR="000703E3" w:rsidRDefault="001F6939">
      <w:pPr>
        <w:widowControl w:val="0"/>
        <w:numPr>
          <w:ilvl w:val="0"/>
          <w:numId w:val="12"/>
        </w:numPr>
        <w:pBdr>
          <w:top w:val="nil"/>
          <w:left w:val="nil"/>
          <w:bottom w:val="nil"/>
          <w:right w:val="nil"/>
          <w:between w:val="nil"/>
        </w:pBdr>
        <w:tabs>
          <w:tab w:val="left" w:pos="485"/>
        </w:tabs>
        <w:spacing w:after="0" w:line="240" w:lineRule="auto"/>
        <w:ind w:right="100" w:firstLine="0"/>
        <w:jc w:val="both"/>
        <w:rPr>
          <w:rFonts w:ascii="gobCL" w:eastAsia="gobCL" w:hAnsi="gobCL" w:cs="gobCL"/>
          <w:color w:val="000000"/>
        </w:rPr>
      </w:pPr>
      <w:r>
        <w:rPr>
          <w:rFonts w:ascii="gobCL" w:eastAsia="gobCL" w:hAnsi="gobCL" w:cs="gobCL"/>
          <w:b/>
          <w:color w:val="000000"/>
        </w:rPr>
        <w:t xml:space="preserve">Servicios culturales: </w:t>
      </w:r>
      <w:r>
        <w:rPr>
          <w:rFonts w:ascii="gobCL" w:eastAsia="gobCL" w:hAnsi="gobCL" w:cs="gobCL"/>
          <w:color w:val="000000"/>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rsidR="000703E3" w:rsidRDefault="000703E3">
      <w:pPr>
        <w:rPr>
          <w:rFonts w:ascii="gobCL" w:eastAsia="gobCL" w:hAnsi="gobCL" w:cs="gobCL"/>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0703E3">
      <w:pP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p w:rsidR="000703E3" w:rsidRDefault="000703E3">
      <w:pPr>
        <w:jc w:val="center"/>
        <w:rPr>
          <w:rFonts w:ascii="gobCL" w:eastAsia="gobCL" w:hAnsi="gobCL" w:cs="gobCL"/>
          <w:b/>
          <w:sz w:val="20"/>
          <w:szCs w:val="20"/>
        </w:rPr>
      </w:pPr>
    </w:p>
    <w:sectPr w:rsidR="000703E3">
      <w:footerReference w:type="default" r:id="rId1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D89" w:rsidRDefault="00C20D89">
      <w:pPr>
        <w:spacing w:after="0" w:line="240" w:lineRule="auto"/>
      </w:pPr>
      <w:r>
        <w:separator/>
      </w:r>
    </w:p>
  </w:endnote>
  <w:endnote w:type="continuationSeparator" w:id="0">
    <w:p w:rsidR="00C20D89" w:rsidRDefault="00C2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39" w:rsidRDefault="001F6939">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7E08">
      <w:rPr>
        <w:noProof/>
        <w:color w:val="000000"/>
      </w:rPr>
      <w:t>2</w:t>
    </w:r>
    <w:r>
      <w:rPr>
        <w:color w:val="000000"/>
      </w:rPr>
      <w:fldChar w:fldCharType="end"/>
    </w:r>
  </w:p>
  <w:p w:rsidR="001F6939" w:rsidRDefault="001F6939"/>
  <w:p w:rsidR="001F6939" w:rsidRDefault="001F69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D89" w:rsidRDefault="00C20D89">
      <w:pPr>
        <w:spacing w:after="0" w:line="240" w:lineRule="auto"/>
      </w:pPr>
      <w:r>
        <w:separator/>
      </w:r>
    </w:p>
  </w:footnote>
  <w:footnote w:type="continuationSeparator" w:id="0">
    <w:p w:rsidR="00C20D89" w:rsidRDefault="00C20D89">
      <w:pPr>
        <w:spacing w:after="0" w:line="240" w:lineRule="auto"/>
      </w:pPr>
      <w:r>
        <w:continuationSeparator/>
      </w:r>
    </w:p>
  </w:footnote>
  <w:footnote w:id="1">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Quedan excluidos de participar en esta convocatoria, aquellos contribuyentes de Primera Categoría que tributen en base a renta presunta.</w:t>
      </w:r>
    </w:p>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p>
  </w:footnote>
  <w:footnote w:id="2">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Para efectos de determinar si un giro específico se comprende dentro de la actividad turística, se estará a lo dispuesto en los artículos 2 letra c) y 3 del Decreto 19 del Ministerio de Economía, Fomento y Turismo que aprueba el Reglamento para la Aplicación del Sistema de Clasificación, Calidad y Seguridad de los Prestadores de Servicios Turísticos"</w:t>
      </w:r>
    </w:p>
    <w:p w:rsidR="001F6939" w:rsidRDefault="001F6939">
      <w:pPr>
        <w:pBdr>
          <w:top w:val="nil"/>
          <w:left w:val="nil"/>
          <w:bottom w:val="nil"/>
          <w:right w:val="nil"/>
          <w:between w:val="nil"/>
        </w:pBdr>
        <w:spacing w:after="0" w:line="240" w:lineRule="auto"/>
        <w:rPr>
          <w:color w:val="000000"/>
          <w:sz w:val="20"/>
          <w:szCs w:val="20"/>
        </w:rPr>
      </w:pPr>
    </w:p>
  </w:footnote>
  <w:footnote w:id="3">
    <w:p w:rsidR="001F6939" w:rsidRDefault="001F6939">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4">
    <w:p w:rsidR="001F6939" w:rsidRDefault="001F69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7">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8">
    <w:p w:rsidR="001F6939" w:rsidRDefault="001F69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1F6939" w:rsidRDefault="001F6939">
      <w:pPr>
        <w:pBdr>
          <w:top w:val="nil"/>
          <w:left w:val="nil"/>
          <w:bottom w:val="nil"/>
          <w:right w:val="nil"/>
          <w:between w:val="nil"/>
        </w:pBdr>
        <w:spacing w:after="0" w:line="240" w:lineRule="auto"/>
        <w:jc w:val="both"/>
        <w:rPr>
          <w:color w:val="000000"/>
          <w:sz w:val="20"/>
          <w:szCs w:val="20"/>
        </w:rPr>
      </w:pPr>
    </w:p>
  </w:footnote>
  <w:footnote w:id="9">
    <w:p w:rsidR="001F6939" w:rsidRDefault="001F69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931E0"/>
    <w:multiLevelType w:val="multilevel"/>
    <w:tmpl w:val="1A626F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DA2CDA"/>
    <w:multiLevelType w:val="multilevel"/>
    <w:tmpl w:val="AB3ED38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25281E6D"/>
    <w:multiLevelType w:val="multilevel"/>
    <w:tmpl w:val="F6C44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B34E06"/>
    <w:multiLevelType w:val="multilevel"/>
    <w:tmpl w:val="25EC1E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CF3428"/>
    <w:multiLevelType w:val="multilevel"/>
    <w:tmpl w:val="5FBAD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2C4F83"/>
    <w:multiLevelType w:val="multilevel"/>
    <w:tmpl w:val="1C6CE4F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6" w15:restartNumberingAfterBreak="0">
    <w:nsid w:val="36AE7F42"/>
    <w:multiLevelType w:val="multilevel"/>
    <w:tmpl w:val="954064AE"/>
    <w:lvl w:ilvl="0">
      <w:start w:val="1"/>
      <w:numFmt w:val="lowerLetter"/>
      <w:lvlText w:val="%1)"/>
      <w:lvlJc w:val="left"/>
      <w:pPr>
        <w:ind w:left="119" w:hanging="426"/>
      </w:pPr>
      <w:rPr>
        <w:b/>
      </w:rPr>
    </w:lvl>
    <w:lvl w:ilvl="1">
      <w:start w:val="1"/>
      <w:numFmt w:val="lowerRoman"/>
      <w:lvlText w:val="%2."/>
      <w:lvlJc w:val="left"/>
      <w:pPr>
        <w:ind w:left="119" w:hanging="309"/>
      </w:pPr>
      <w:rPr>
        <w:rFonts w:ascii="Century Gothic" w:eastAsia="Century Gothic" w:hAnsi="Century Gothic" w:cs="Century Gothic"/>
        <w:sz w:val="24"/>
        <w:szCs w:val="24"/>
      </w:rPr>
    </w:lvl>
    <w:lvl w:ilvl="2">
      <w:start w:val="1"/>
      <w:numFmt w:val="bullet"/>
      <w:lvlText w:val="•"/>
      <w:lvlJc w:val="left"/>
      <w:pPr>
        <w:ind w:left="1908" w:hanging="309"/>
      </w:pPr>
    </w:lvl>
    <w:lvl w:ilvl="3">
      <w:start w:val="1"/>
      <w:numFmt w:val="bullet"/>
      <w:lvlText w:val="•"/>
      <w:lvlJc w:val="left"/>
      <w:pPr>
        <w:ind w:left="2802" w:hanging="309"/>
      </w:pPr>
    </w:lvl>
    <w:lvl w:ilvl="4">
      <w:start w:val="1"/>
      <w:numFmt w:val="bullet"/>
      <w:lvlText w:val="•"/>
      <w:lvlJc w:val="left"/>
      <w:pPr>
        <w:ind w:left="3696" w:hanging="308"/>
      </w:pPr>
    </w:lvl>
    <w:lvl w:ilvl="5">
      <w:start w:val="1"/>
      <w:numFmt w:val="bullet"/>
      <w:lvlText w:val="•"/>
      <w:lvlJc w:val="left"/>
      <w:pPr>
        <w:ind w:left="4590" w:hanging="309"/>
      </w:pPr>
    </w:lvl>
    <w:lvl w:ilvl="6">
      <w:start w:val="1"/>
      <w:numFmt w:val="bullet"/>
      <w:lvlText w:val="•"/>
      <w:lvlJc w:val="left"/>
      <w:pPr>
        <w:ind w:left="5484" w:hanging="309"/>
      </w:pPr>
    </w:lvl>
    <w:lvl w:ilvl="7">
      <w:start w:val="1"/>
      <w:numFmt w:val="bullet"/>
      <w:lvlText w:val="•"/>
      <w:lvlJc w:val="left"/>
      <w:pPr>
        <w:ind w:left="6378" w:hanging="309"/>
      </w:pPr>
    </w:lvl>
    <w:lvl w:ilvl="8">
      <w:start w:val="1"/>
      <w:numFmt w:val="bullet"/>
      <w:lvlText w:val="•"/>
      <w:lvlJc w:val="left"/>
      <w:pPr>
        <w:ind w:left="7272" w:hanging="308"/>
      </w:pPr>
    </w:lvl>
  </w:abstractNum>
  <w:abstractNum w:abstractNumId="7" w15:restartNumberingAfterBreak="0">
    <w:nsid w:val="3B1F5439"/>
    <w:multiLevelType w:val="multilevel"/>
    <w:tmpl w:val="C4FA6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1C7439"/>
    <w:multiLevelType w:val="multilevel"/>
    <w:tmpl w:val="DD8E0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B654B6"/>
    <w:multiLevelType w:val="multilevel"/>
    <w:tmpl w:val="0E8A444E"/>
    <w:lvl w:ilvl="0">
      <w:start w:val="1"/>
      <w:numFmt w:val="lowerRoman"/>
      <w:lvlText w:val="%1."/>
      <w:lvlJc w:val="left"/>
      <w:pPr>
        <w:ind w:left="119" w:hanging="180"/>
      </w:pPr>
      <w:rPr>
        <w:rFonts w:ascii="Century Gothic" w:eastAsia="Century Gothic" w:hAnsi="Century Gothic" w:cs="Century Gothic"/>
        <w:sz w:val="24"/>
        <w:szCs w:val="24"/>
      </w:rPr>
    </w:lvl>
    <w:lvl w:ilvl="1">
      <w:start w:val="1"/>
      <w:numFmt w:val="bullet"/>
      <w:lvlText w:val="•"/>
      <w:lvlJc w:val="left"/>
      <w:pPr>
        <w:ind w:left="1014" w:hanging="180"/>
      </w:pPr>
    </w:lvl>
    <w:lvl w:ilvl="2">
      <w:start w:val="1"/>
      <w:numFmt w:val="bullet"/>
      <w:lvlText w:val="•"/>
      <w:lvlJc w:val="left"/>
      <w:pPr>
        <w:ind w:left="1908" w:hanging="180"/>
      </w:pPr>
    </w:lvl>
    <w:lvl w:ilvl="3">
      <w:start w:val="1"/>
      <w:numFmt w:val="bullet"/>
      <w:lvlText w:val="•"/>
      <w:lvlJc w:val="left"/>
      <w:pPr>
        <w:ind w:left="2802" w:hanging="180"/>
      </w:pPr>
    </w:lvl>
    <w:lvl w:ilvl="4">
      <w:start w:val="1"/>
      <w:numFmt w:val="bullet"/>
      <w:lvlText w:val="•"/>
      <w:lvlJc w:val="left"/>
      <w:pPr>
        <w:ind w:left="3696" w:hanging="180"/>
      </w:pPr>
    </w:lvl>
    <w:lvl w:ilvl="5">
      <w:start w:val="1"/>
      <w:numFmt w:val="bullet"/>
      <w:lvlText w:val="•"/>
      <w:lvlJc w:val="left"/>
      <w:pPr>
        <w:ind w:left="4590" w:hanging="180"/>
      </w:pPr>
    </w:lvl>
    <w:lvl w:ilvl="6">
      <w:start w:val="1"/>
      <w:numFmt w:val="bullet"/>
      <w:lvlText w:val="•"/>
      <w:lvlJc w:val="left"/>
      <w:pPr>
        <w:ind w:left="5484" w:hanging="180"/>
      </w:pPr>
    </w:lvl>
    <w:lvl w:ilvl="7">
      <w:start w:val="1"/>
      <w:numFmt w:val="bullet"/>
      <w:lvlText w:val="•"/>
      <w:lvlJc w:val="left"/>
      <w:pPr>
        <w:ind w:left="6378" w:hanging="180"/>
      </w:pPr>
    </w:lvl>
    <w:lvl w:ilvl="8">
      <w:start w:val="1"/>
      <w:numFmt w:val="bullet"/>
      <w:lvlText w:val="•"/>
      <w:lvlJc w:val="left"/>
      <w:pPr>
        <w:ind w:left="7272" w:hanging="180"/>
      </w:pPr>
    </w:lvl>
  </w:abstractNum>
  <w:abstractNum w:abstractNumId="10" w15:restartNumberingAfterBreak="0">
    <w:nsid w:val="5ACD44F0"/>
    <w:multiLevelType w:val="hybridMultilevel"/>
    <w:tmpl w:val="B62AE1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5F39567E"/>
    <w:multiLevelType w:val="multilevel"/>
    <w:tmpl w:val="E77E5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CDA3E23"/>
    <w:multiLevelType w:val="multilevel"/>
    <w:tmpl w:val="105AB9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111DD6"/>
    <w:multiLevelType w:val="multilevel"/>
    <w:tmpl w:val="AF92298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A13968"/>
    <w:multiLevelType w:val="multilevel"/>
    <w:tmpl w:val="19D8C8CC"/>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8"/>
  </w:num>
  <w:num w:numId="2">
    <w:abstractNumId w:val="7"/>
  </w:num>
  <w:num w:numId="3">
    <w:abstractNumId w:val="1"/>
  </w:num>
  <w:num w:numId="4">
    <w:abstractNumId w:val="14"/>
  </w:num>
  <w:num w:numId="5">
    <w:abstractNumId w:val="12"/>
  </w:num>
  <w:num w:numId="6">
    <w:abstractNumId w:val="5"/>
  </w:num>
  <w:num w:numId="7">
    <w:abstractNumId w:val="4"/>
  </w:num>
  <w:num w:numId="8">
    <w:abstractNumId w:val="9"/>
  </w:num>
  <w:num w:numId="9">
    <w:abstractNumId w:val="13"/>
  </w:num>
  <w:num w:numId="10">
    <w:abstractNumId w:val="3"/>
  </w:num>
  <w:num w:numId="11">
    <w:abstractNumId w:val="2"/>
  </w:num>
  <w:num w:numId="12">
    <w:abstractNumId w:val="6"/>
  </w:num>
  <w:num w:numId="13">
    <w:abstractNumId w:val="1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E3"/>
    <w:rsid w:val="000703E3"/>
    <w:rsid w:val="000B7B1F"/>
    <w:rsid w:val="001F6939"/>
    <w:rsid w:val="00281E4B"/>
    <w:rsid w:val="006600E6"/>
    <w:rsid w:val="00716222"/>
    <w:rsid w:val="00A413E4"/>
    <w:rsid w:val="00B77E08"/>
    <w:rsid w:val="00B95479"/>
    <w:rsid w:val="00BB13B2"/>
    <w:rsid w:val="00C20D89"/>
    <w:rsid w:val="00E35B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02831-97F3-4D07-A7CD-E846D564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7">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www.dt.gob.cl/portal/1626/w3-article-10035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oy@territoriaconsultores.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registro.sernatur.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h5kSsiCCHT7yCqVuBQA3cbWyzA==">AMUW2mVNY7FyQWwmqbFwpW+K1+kMTzg1td8H36K0E+MFTSS62ZraRSJm+1KWTG1U6lvC3F03RLlFTkKVEsjoQXwngrCGgmtmHjfDbtdjCeMJwG3uYU7iRQh5k0meQrUnHZrjwpxTB0v9Z9u05ZBBwSTKzRsMKGoICXiGQ5A0xi/mUNwE5P4do1o=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9525</Words>
  <Characters>52393</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2020-07-09T17:24:00Z</dcterms:created>
  <dcterms:modified xsi:type="dcterms:W3CDTF">2020-07-09T17:24:00Z</dcterms:modified>
</cp:coreProperties>
</file>