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14FBBBF1"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49394B">
        <w:rPr>
          <w:rFonts w:ascii="Arial" w:eastAsia="Arial" w:hAnsi="Arial" w:cs="Arial"/>
          <w:b/>
        </w:rPr>
        <w:t xml:space="preserve"> ANTOFAGASTA</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0CD01E9E" w:rsidR="004C1EE0" w:rsidRDefault="004C1EE0">
      <w:pPr>
        <w:pStyle w:val="Ttulo1"/>
        <w:spacing w:before="0" w:line="360" w:lineRule="auto"/>
        <w:jc w:val="center"/>
      </w:pPr>
    </w:p>
    <w:p w14:paraId="27333831" w14:textId="77777777" w:rsidR="00A65207" w:rsidRPr="00A65207" w:rsidRDefault="00A65207" w:rsidP="00A65207"/>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49B2595A" w:rsidR="004C1EE0" w:rsidRPr="004C1EE0" w:rsidRDefault="00981E83" w:rsidP="006E0461">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6E0461">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5A1ABFFD" w:rsidR="00302536" w:rsidRPr="00D5739A" w:rsidRDefault="00302536" w:rsidP="00D5739A">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6E0461">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2" w:name="_heading=h.3dy6vkm" w:colFirst="0" w:colLast="0"/>
      <w:bookmarkEnd w:id="2"/>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3" w:name="_heading=h.1ksv4uv" w:colFirst="0" w:colLast="0"/>
      <w:bookmarkEnd w:id="3"/>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4" w:name="_heading=h.2s8eyo1" w:colFirst="0" w:colLast="0"/>
      <w:bookmarkEnd w:id="4"/>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5" w:name="_heading=h.44sinio" w:colFirst="0" w:colLast="0"/>
      <w:bookmarkEnd w:id="5"/>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6" w:name="_heading=h.3rdcrjn" w:colFirst="0" w:colLast="0"/>
      <w:bookmarkEnd w:id="6"/>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7" w:name="_heading=h.2jxsxqh" w:colFirst="0" w:colLast="0"/>
      <w:bookmarkEnd w:id="7"/>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8" w:name="_heading=h.z337ya" w:colFirst="0" w:colLast="0"/>
      <w:bookmarkEnd w:id="8"/>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503361A2" w:rsidR="00D97E5A" w:rsidRDefault="00845378" w:rsidP="00A237B6">
            <w:pPr>
              <w:jc w:val="both"/>
              <w:rPr>
                <w:rFonts w:ascii="gobCL" w:eastAsia="gobCL" w:hAnsi="gobCL" w:cs="gobCL"/>
                <w:b/>
              </w:rPr>
            </w:pPr>
            <w:r>
              <w:rPr>
                <w:rFonts w:ascii="gobCL" w:eastAsia="gobCL" w:hAnsi="gobCL" w:cs="gobCL"/>
                <w:b/>
              </w:rPr>
              <w:t>Criterio 1 (2</w:t>
            </w:r>
            <w:r w:rsidR="00A65207">
              <w:rPr>
                <w:rFonts w:ascii="gobCL" w:eastAsia="gobCL" w:hAnsi="gobCL" w:cs="gobCL"/>
                <w:b/>
              </w:rPr>
              <w:t>0</w:t>
            </w:r>
            <w:r w:rsidR="008F2543">
              <w:rPr>
                <w:rFonts w:ascii="gobCL" w:eastAsia="gobCL" w:hAnsi="gobCL" w:cs="gobCL"/>
                <w:b/>
              </w:rPr>
              <w:t xml:space="preserve">%)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4846375C"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w:t>
            </w:r>
            <w:r w:rsidR="00A65207">
              <w:rPr>
                <w:rFonts w:ascii="gobCL" w:eastAsia="gobCL" w:hAnsi="gobCL" w:cs="gobCL"/>
                <w:b/>
              </w:rPr>
              <w:t>15</w:t>
            </w:r>
            <w:r w:rsidR="008F2543">
              <w:rPr>
                <w:rFonts w:ascii="gobCL" w:eastAsia="gobCL" w:hAnsi="gobCL" w:cs="gobCL"/>
                <w:b/>
              </w:rPr>
              <w:t xml:space="preserve">%)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290AE0F3" w:rsidR="00D97E5A" w:rsidRDefault="008F2543">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w:t>
            </w:r>
            <w:r w:rsidR="00A65207">
              <w:rPr>
                <w:rFonts w:ascii="gobCL" w:eastAsia="gobCL" w:hAnsi="gobCL" w:cs="gobCL"/>
                <w:b/>
              </w:rPr>
              <w:t>0</w:t>
            </w:r>
            <w:r>
              <w:rPr>
                <w:rFonts w:ascii="gobCL" w:eastAsia="gobCL" w:hAnsi="gobCL" w:cs="gobCL"/>
                <w:b/>
              </w:rPr>
              <w:t xml:space="preserve">%)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459BE695" w:rsidR="00794376" w:rsidRDefault="00794376" w:rsidP="00F325BA">
            <w:pPr>
              <w:jc w:val="both"/>
              <w:rPr>
                <w:rFonts w:ascii="gobCL" w:eastAsia="gobCL" w:hAnsi="gobCL" w:cs="gobCL"/>
                <w:b/>
              </w:rPr>
            </w:pPr>
            <w:r>
              <w:rPr>
                <w:rFonts w:ascii="gobCL" w:eastAsia="gobCL" w:hAnsi="gobCL" w:cs="gobCL"/>
                <w:b/>
              </w:rPr>
              <w:lastRenderedPageBreak/>
              <w:t>Criterio 5 (</w:t>
            </w:r>
            <w:r w:rsidR="00A65207">
              <w:rPr>
                <w:rFonts w:ascii="gobCL" w:eastAsia="gobCL" w:hAnsi="gobCL" w:cs="gobCL"/>
                <w:b/>
              </w:rPr>
              <w:t>15</w:t>
            </w:r>
            <w:r>
              <w:rPr>
                <w:rFonts w:ascii="gobCL" w:eastAsia="gobCL" w:hAnsi="gobCL" w:cs="gobCL"/>
                <w:b/>
              </w:rPr>
              <w:t xml:space="preserve">%).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235"/>
        <w:gridCol w:w="5103"/>
      </w:tblGrid>
      <w:tr w:rsidR="00A65207" w:rsidRPr="00794376" w14:paraId="1C263328" w14:textId="77777777" w:rsidTr="000C4323">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5FC17805" w14:textId="4DB9DD82" w:rsidR="00A65207" w:rsidRPr="00ED5303" w:rsidRDefault="00A65207" w:rsidP="00A65207">
            <w:pPr>
              <w:pStyle w:val="NormalWeb"/>
              <w:spacing w:before="0" w:beforeAutospacing="0" w:after="160" w:afterAutospacing="0"/>
              <w:jc w:val="both"/>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Pr>
                <w:rFonts w:ascii="gobCL" w:eastAsia="gobCL" w:hAnsi="gobCL" w:cs="gobCL"/>
                <w:b/>
              </w:rPr>
              <w:t xml:space="preserve"> </w:t>
            </w:r>
            <w:r w:rsidR="00575A89">
              <w:rPr>
                <w:rFonts w:ascii="gobCL" w:eastAsia="gobCL" w:hAnsi="gobCL" w:cs="gobCL"/>
                <w:b/>
              </w:rPr>
              <w:t>6.</w:t>
            </w:r>
            <w:r w:rsidR="00575A89">
              <w:rPr>
                <w:rFonts w:ascii="gobCL" w:eastAsia="gobCL" w:hAnsi="gobCL" w:cs="gobCL"/>
                <w:b/>
              </w:rPr>
              <w:tab/>
              <w:t>El postulante fue beneficiari</w:t>
            </w:r>
            <w:r w:rsidRPr="00A65207">
              <w:rPr>
                <w:rFonts w:ascii="gobCL" w:eastAsia="gobCL" w:hAnsi="gobCL" w:cs="gobCL"/>
                <w:b/>
              </w:rPr>
              <w:t xml:space="preserve">o en la convocatoria del programa Kit de </w:t>
            </w:r>
            <w:proofErr w:type="spellStart"/>
            <w:r w:rsidRPr="00A65207">
              <w:rPr>
                <w:rFonts w:ascii="gobCL" w:eastAsia="gobCL" w:hAnsi="gobCL" w:cs="gobCL"/>
                <w:b/>
              </w:rPr>
              <w:t>Sanitización</w:t>
            </w:r>
            <w:proofErr w:type="spellEnd"/>
            <w:r w:rsidRPr="00A65207">
              <w:rPr>
                <w:rFonts w:ascii="gobCL" w:eastAsia="gobCL" w:hAnsi="gobCL" w:cs="gobCL"/>
                <w:b/>
              </w:rPr>
              <w:t xml:space="preserve"> para Ferias Libres 2020.</w:t>
            </w:r>
          </w:p>
        </w:tc>
      </w:tr>
      <w:tr w:rsidR="00A65207" w:rsidRPr="00794376" w14:paraId="5D0752E4" w14:textId="77777777" w:rsidTr="00A65207">
        <w:trPr>
          <w:trHeight w:val="883"/>
        </w:trPr>
        <w:tc>
          <w:tcPr>
            <w:tcW w:w="5235" w:type="dxa"/>
            <w:tcBorders>
              <w:top w:val="nil"/>
              <w:left w:val="single" w:sz="8" w:space="0" w:color="000000"/>
              <w:right w:val="single" w:sz="4" w:space="0" w:color="000000"/>
            </w:tcBorders>
            <w:shd w:val="clear" w:color="auto" w:fill="auto"/>
            <w:vAlign w:val="center"/>
          </w:tcPr>
          <w:p w14:paraId="4925B7F0" w14:textId="74B6B475" w:rsidR="00A65207" w:rsidRPr="00425155" w:rsidRDefault="00A65207" w:rsidP="000C4323">
            <w:pPr>
              <w:spacing w:after="0"/>
              <w:jc w:val="both"/>
              <w:rPr>
                <w:rFonts w:ascii="gobCL" w:eastAsia="gobCL" w:hAnsi="gobCL" w:cs="gobCL"/>
                <w:color w:val="000080"/>
                <w:sz w:val="18"/>
                <w:szCs w:val="18"/>
              </w:rPr>
            </w:pPr>
            <w:r w:rsidRPr="00A65207">
              <w:rPr>
                <w:rFonts w:ascii="gobCL" w:eastAsia="gobCL" w:hAnsi="gobCL" w:cs="gobCL"/>
                <w:color w:val="000080"/>
                <w:sz w:val="18"/>
                <w:szCs w:val="18"/>
              </w:rPr>
              <w:t>El postulante</w:t>
            </w:r>
            <w:r w:rsidR="00575A89">
              <w:rPr>
                <w:rFonts w:ascii="gobCL" w:eastAsia="gobCL" w:hAnsi="gobCL" w:cs="gobCL"/>
                <w:color w:val="000080"/>
                <w:sz w:val="18"/>
                <w:szCs w:val="18"/>
              </w:rPr>
              <w:t xml:space="preserve"> fue beneficiario</w:t>
            </w:r>
            <w:r w:rsidRPr="00ED5303">
              <w:rPr>
                <w:rFonts w:ascii="gobCL" w:eastAsia="gobCL" w:hAnsi="gobCL" w:cs="gobCL"/>
                <w:color w:val="000080"/>
                <w:sz w:val="18"/>
                <w:szCs w:val="18"/>
              </w:rPr>
              <w:t xml:space="preserve"> de la convocatoria Kit de </w:t>
            </w:r>
            <w:proofErr w:type="spellStart"/>
            <w:r w:rsidRPr="00ED5303">
              <w:rPr>
                <w:rFonts w:ascii="gobCL" w:eastAsia="gobCL" w:hAnsi="gobCL" w:cs="gobCL"/>
                <w:color w:val="000080"/>
                <w:sz w:val="18"/>
                <w:szCs w:val="18"/>
              </w:rPr>
              <w:t>Sanitización</w:t>
            </w:r>
            <w:proofErr w:type="spellEnd"/>
            <w:r w:rsidRPr="00ED5303">
              <w:rPr>
                <w:rFonts w:ascii="gobCL" w:eastAsia="gobCL" w:hAnsi="gobCL" w:cs="gobCL"/>
                <w:color w:val="000080"/>
                <w:sz w:val="18"/>
                <w:szCs w:val="18"/>
              </w:rPr>
              <w:t xml:space="preserve"> </w:t>
            </w:r>
            <w:r w:rsidR="007304A8">
              <w:rPr>
                <w:rFonts w:ascii="gobCL" w:eastAsia="gobCL" w:hAnsi="gobCL" w:cs="gobCL"/>
                <w:color w:val="000080"/>
                <w:sz w:val="18"/>
                <w:szCs w:val="18"/>
              </w:rPr>
              <w:t xml:space="preserve">para Ferias Libres </w:t>
            </w:r>
            <w:r w:rsidRPr="00ED5303">
              <w:rPr>
                <w:rFonts w:ascii="gobCL" w:eastAsia="gobCL" w:hAnsi="gobCL" w:cs="gobCL"/>
                <w:color w:val="000080"/>
                <w:sz w:val="18"/>
                <w:szCs w:val="18"/>
              </w:rPr>
              <w:t>2020</w:t>
            </w:r>
            <w:r>
              <w:rPr>
                <w:rFonts w:ascii="gobCL" w:eastAsia="gobCL" w:hAnsi="gobCL" w:cs="gobCL"/>
                <w:color w:val="000080"/>
                <w:sz w:val="18"/>
                <w:szCs w:val="18"/>
              </w:rPr>
              <w:t>.</w:t>
            </w:r>
          </w:p>
        </w:tc>
        <w:tc>
          <w:tcPr>
            <w:tcW w:w="5103" w:type="dxa"/>
            <w:tcBorders>
              <w:top w:val="nil"/>
              <w:left w:val="single" w:sz="4" w:space="0" w:color="000000"/>
              <w:bottom w:val="single" w:sz="4" w:space="0" w:color="000000"/>
              <w:right w:val="single" w:sz="4" w:space="0" w:color="000000"/>
            </w:tcBorders>
            <w:shd w:val="clear" w:color="auto" w:fill="auto"/>
            <w:vAlign w:val="center"/>
          </w:tcPr>
          <w:p w14:paraId="0B15C3DB" w14:textId="36486E47" w:rsidR="00A65207" w:rsidRPr="00425155" w:rsidRDefault="00A65207" w:rsidP="00575A89">
            <w:pPr>
              <w:jc w:val="both"/>
              <w:rPr>
                <w:rFonts w:ascii="gobCL" w:eastAsia="gobCL" w:hAnsi="gobCL" w:cs="gobCL"/>
                <w:color w:val="000080"/>
                <w:sz w:val="18"/>
                <w:szCs w:val="18"/>
              </w:rPr>
            </w:pPr>
            <w:r>
              <w:rPr>
                <w:rFonts w:ascii="gobCL" w:eastAsia="gobCL" w:hAnsi="gobCL" w:cs="gobCL"/>
                <w:color w:val="000080"/>
                <w:sz w:val="18"/>
                <w:szCs w:val="18"/>
              </w:rPr>
              <w:t>El postulante</w:t>
            </w:r>
            <w:r w:rsidRPr="00ED5303">
              <w:rPr>
                <w:rFonts w:ascii="gobCL" w:eastAsia="gobCL" w:hAnsi="gobCL" w:cs="gobCL"/>
                <w:color w:val="000080"/>
                <w:sz w:val="18"/>
                <w:szCs w:val="18"/>
              </w:rPr>
              <w:t xml:space="preserve"> no fue beneficiari</w:t>
            </w:r>
            <w:r w:rsidR="00575A89">
              <w:rPr>
                <w:rFonts w:ascii="gobCL" w:eastAsia="gobCL" w:hAnsi="gobCL" w:cs="gobCL"/>
                <w:color w:val="000080"/>
                <w:sz w:val="18"/>
                <w:szCs w:val="18"/>
              </w:rPr>
              <w:t>o</w:t>
            </w:r>
            <w:r w:rsidRPr="00ED5303">
              <w:rPr>
                <w:rFonts w:ascii="gobCL" w:eastAsia="gobCL" w:hAnsi="gobCL" w:cs="gobCL"/>
                <w:color w:val="000080"/>
                <w:sz w:val="18"/>
                <w:szCs w:val="18"/>
              </w:rPr>
              <w:t xml:space="preserve"> de la convocatoria Kit de </w:t>
            </w:r>
            <w:proofErr w:type="spellStart"/>
            <w:r w:rsidRPr="00ED5303">
              <w:rPr>
                <w:rFonts w:ascii="gobCL" w:eastAsia="gobCL" w:hAnsi="gobCL" w:cs="gobCL"/>
                <w:color w:val="000080"/>
                <w:sz w:val="18"/>
                <w:szCs w:val="18"/>
              </w:rPr>
              <w:t>Sanitización</w:t>
            </w:r>
            <w:proofErr w:type="spellEnd"/>
            <w:r w:rsidR="007304A8">
              <w:rPr>
                <w:rFonts w:ascii="gobCL" w:eastAsia="gobCL" w:hAnsi="gobCL" w:cs="gobCL"/>
                <w:color w:val="000080"/>
                <w:sz w:val="18"/>
                <w:szCs w:val="18"/>
              </w:rPr>
              <w:t xml:space="preserve"> para Ferias Libres</w:t>
            </w:r>
            <w:bookmarkStart w:id="9" w:name="_GoBack"/>
            <w:bookmarkEnd w:id="9"/>
            <w:r w:rsidRPr="00ED5303">
              <w:rPr>
                <w:rFonts w:ascii="gobCL" w:eastAsia="gobCL" w:hAnsi="gobCL" w:cs="gobCL"/>
                <w:color w:val="000080"/>
                <w:sz w:val="18"/>
                <w:szCs w:val="18"/>
              </w:rPr>
              <w:t xml:space="preserve"> 2020</w:t>
            </w:r>
            <w:r>
              <w:rPr>
                <w:rFonts w:ascii="gobCL" w:eastAsia="gobCL" w:hAnsi="gobCL" w:cs="gobCL"/>
                <w:color w:val="000080"/>
                <w:sz w:val="18"/>
                <w:szCs w:val="18"/>
              </w:rPr>
              <w:t>.</w:t>
            </w:r>
          </w:p>
        </w:tc>
      </w:tr>
      <w:tr w:rsidR="00A65207" w:rsidRPr="00794376" w14:paraId="1C45D71E" w14:textId="77777777" w:rsidTr="000C4323">
        <w:trPr>
          <w:trHeight w:val="366"/>
        </w:trPr>
        <w:tc>
          <w:tcPr>
            <w:tcW w:w="5235" w:type="dxa"/>
            <w:tcBorders>
              <w:top w:val="nil"/>
              <w:left w:val="single" w:sz="8" w:space="0" w:color="000000"/>
              <w:bottom w:val="single" w:sz="4" w:space="0" w:color="000000"/>
              <w:right w:val="single" w:sz="8" w:space="0" w:color="FFFFFF"/>
            </w:tcBorders>
            <w:shd w:val="clear" w:color="auto" w:fill="000080"/>
            <w:vAlign w:val="center"/>
          </w:tcPr>
          <w:p w14:paraId="7D03E6B7" w14:textId="77777777" w:rsidR="00A65207" w:rsidRPr="00794376" w:rsidRDefault="00A65207" w:rsidP="000C4323">
            <w:pPr>
              <w:jc w:val="center"/>
              <w:rPr>
                <w:rFonts w:ascii="gobCL" w:eastAsia="gobCL" w:hAnsi="gobCL" w:cs="gobCL"/>
                <w:b/>
                <w:color w:val="FFFFFF"/>
              </w:rPr>
            </w:pPr>
            <w:r w:rsidRPr="00794376">
              <w:rPr>
                <w:rFonts w:ascii="gobCL" w:eastAsia="gobCL" w:hAnsi="gobCL" w:cs="gobCL"/>
                <w:b/>
                <w:color w:val="FFFFFF"/>
              </w:rPr>
              <w:t>Nota 3</w:t>
            </w:r>
          </w:p>
        </w:tc>
        <w:tc>
          <w:tcPr>
            <w:tcW w:w="5103" w:type="dxa"/>
            <w:tcBorders>
              <w:top w:val="nil"/>
              <w:left w:val="nil"/>
              <w:bottom w:val="single" w:sz="4" w:space="0" w:color="000000"/>
              <w:right w:val="single" w:sz="4" w:space="0" w:color="000000"/>
            </w:tcBorders>
            <w:shd w:val="clear" w:color="auto" w:fill="000080"/>
            <w:vAlign w:val="center"/>
          </w:tcPr>
          <w:p w14:paraId="19B6FE48" w14:textId="77777777" w:rsidR="00A65207" w:rsidRPr="00794376" w:rsidRDefault="00A65207" w:rsidP="000C4323">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9B1D7" w14:textId="77777777" w:rsidR="00157102" w:rsidRDefault="00157102">
      <w:pPr>
        <w:spacing w:after="0" w:line="240" w:lineRule="auto"/>
      </w:pPr>
      <w:r>
        <w:separator/>
      </w:r>
    </w:p>
  </w:endnote>
  <w:endnote w:type="continuationSeparator" w:id="0">
    <w:p w14:paraId="022A8F90" w14:textId="77777777" w:rsidR="00157102" w:rsidRDefault="0015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5F304FD5"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04A8">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0A17" w14:textId="77777777" w:rsidR="00157102" w:rsidRDefault="00157102">
      <w:pPr>
        <w:spacing w:after="0" w:line="240" w:lineRule="auto"/>
      </w:pPr>
      <w:r>
        <w:separator/>
      </w:r>
    </w:p>
  </w:footnote>
  <w:footnote w:type="continuationSeparator" w:id="0">
    <w:p w14:paraId="7C4F465A" w14:textId="77777777" w:rsidR="00157102" w:rsidRDefault="0015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57102"/>
    <w:rsid w:val="00163BE2"/>
    <w:rsid w:val="001A7686"/>
    <w:rsid w:val="002376A8"/>
    <w:rsid w:val="002B4037"/>
    <w:rsid w:val="002F2A9F"/>
    <w:rsid w:val="00302536"/>
    <w:rsid w:val="003C2F5C"/>
    <w:rsid w:val="003D184F"/>
    <w:rsid w:val="00455F0B"/>
    <w:rsid w:val="004632EB"/>
    <w:rsid w:val="0049394B"/>
    <w:rsid w:val="004A139C"/>
    <w:rsid w:val="004C1EE0"/>
    <w:rsid w:val="004C2F5E"/>
    <w:rsid w:val="00550B48"/>
    <w:rsid w:val="00575A89"/>
    <w:rsid w:val="0059477A"/>
    <w:rsid w:val="00616651"/>
    <w:rsid w:val="0061746C"/>
    <w:rsid w:val="006240B0"/>
    <w:rsid w:val="00630537"/>
    <w:rsid w:val="00644A17"/>
    <w:rsid w:val="006670B6"/>
    <w:rsid w:val="00675FE2"/>
    <w:rsid w:val="006C1689"/>
    <w:rsid w:val="006D75CE"/>
    <w:rsid w:val="006E0461"/>
    <w:rsid w:val="00706A51"/>
    <w:rsid w:val="007304A8"/>
    <w:rsid w:val="00783A52"/>
    <w:rsid w:val="00794376"/>
    <w:rsid w:val="00845378"/>
    <w:rsid w:val="0087660D"/>
    <w:rsid w:val="0089203D"/>
    <w:rsid w:val="008F2543"/>
    <w:rsid w:val="00922624"/>
    <w:rsid w:val="0096277B"/>
    <w:rsid w:val="00981E83"/>
    <w:rsid w:val="009D2E37"/>
    <w:rsid w:val="00A237B6"/>
    <w:rsid w:val="00A56698"/>
    <w:rsid w:val="00A65207"/>
    <w:rsid w:val="00A92952"/>
    <w:rsid w:val="00AD30A5"/>
    <w:rsid w:val="00AE72E6"/>
    <w:rsid w:val="00B42E85"/>
    <w:rsid w:val="00B46567"/>
    <w:rsid w:val="00B83DC7"/>
    <w:rsid w:val="00B85382"/>
    <w:rsid w:val="00B85922"/>
    <w:rsid w:val="00BE31B4"/>
    <w:rsid w:val="00C85F27"/>
    <w:rsid w:val="00CE797A"/>
    <w:rsid w:val="00D05338"/>
    <w:rsid w:val="00D5739A"/>
    <w:rsid w:val="00D97E5A"/>
    <w:rsid w:val="00E65FA0"/>
    <w:rsid w:val="00E914F2"/>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CBA75F-8AE6-4990-BAB1-945B8719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3244</Words>
  <Characters>17848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7</cp:revision>
  <dcterms:created xsi:type="dcterms:W3CDTF">2020-09-28T13:56:00Z</dcterms:created>
  <dcterms:modified xsi:type="dcterms:W3CDTF">2020-11-11T15:40:00Z</dcterms:modified>
</cp:coreProperties>
</file>