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36"/>
          <w:szCs w:val="36"/>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36"/>
          <w:szCs w:val="36"/>
          <w:u w:val="none"/>
          <w:shd w:fill="auto" w:val="clear"/>
          <w:vertAlign w:val="baseline"/>
          <w:rtl w:val="0"/>
        </w:rPr>
        <w:t xml:space="preserve">ANEXO Nº 1</w:t>
      </w:r>
      <w:r w:rsidDel="00000000" w:rsidR="00000000" w:rsidRPr="00000000">
        <w:rPr>
          <w:rFonts w:ascii="Palatino Linotype" w:cs="Palatino Linotype" w:eastAsia="Palatino Linotype" w:hAnsi="Palatino Linotype"/>
          <w:b w:val="1"/>
          <w:sz w:val="36"/>
          <w:szCs w:val="36"/>
          <w:rtl w:val="0"/>
        </w:rPr>
        <w:t xml:space="preserve">4</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DECLARACIÓN JURADA SIMPLE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RELATIVA A INTERESES Y CONFIDENCIALIDAD DEL EQUIPO DE CENTROS DE NEGOCIOS PROPUESTO POR OPERADORES DE SERCOTEC</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 Considerando que el Servicio de Cooperación Técnica, Sercotec, se encuentra entre aquellas entidades a través de las cuales el Estado realiza de forma indirecta actividades inherentes al cumplimiento de sus funciones, le resultan aplicables los principios básicos de gestión propios de derecho público, debiendo velar entonces por la observancia al principio de probidad administrativa consagrado en el artículo 8° de la Constitución Política de la República y desarrollado en ámbito legal, en el Título III de la Ley N° 18.575, “Orgánica Constitucional de Bases Generales de la Administración del Estado”, cuyos artículos 52 y 53, exigen de sus servidores una conducta intachable, así como un desempeño honesto y leal de la función o cargo, con preeminencia del interés general sobre el particular (véase los dictámenes N</w:t>
      </w:r>
      <w:r w:rsidDel="00000000" w:rsidR="00000000" w:rsidRPr="00000000">
        <w:rPr>
          <w:rFonts w:ascii="Palatino Linotype" w:cs="Palatino Linotype" w:eastAsia="Palatino Linotype" w:hAnsi="Palatino Linotype"/>
          <w:sz w:val="24"/>
          <w:szCs w:val="24"/>
          <w:vertAlign w:val="superscript"/>
          <w:rtl w:val="0"/>
        </w:rPr>
        <w:t xml:space="preserve">os</w:t>
      </w:r>
      <w:r w:rsidDel="00000000" w:rsidR="00000000" w:rsidRPr="00000000">
        <w:rPr>
          <w:rFonts w:ascii="Palatino Linotype" w:cs="Palatino Linotype" w:eastAsia="Palatino Linotype" w:hAnsi="Palatino Linotype"/>
          <w:sz w:val="24"/>
          <w:szCs w:val="24"/>
          <w:rtl w:val="0"/>
        </w:rPr>
        <w:t xml:space="preserve"> 44.554/10, 47.565/13 y 28.879/14, de la Contraloría General de la República).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 Por su parte, toda entidad seleccionada mediante concurso público para operar Centros de Negocios, queda vinculada con Sercotec, de manera tal, que el equipo propuesto para la operación y dependiente del operador respecto de obligaciones laborales, debe mantener una conducta intachable, fuera de cualquier conflicto de interés o incompatibilidad, y cumplir con un alto estándar de conducta, permitiendo a Sercotec asegurase que la ejecución de los recursos para el Programa Centros, serán gestionados por el equipo del operador seleccionado de forma transparente, al margen de situaciones que impliquen conflicto de interés, incluso potencial.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3.- Considerando lo anterior, para la presente etapa del concurso público, se hace necesario que el/la trabajador/a pueda declarar mediante el presente documento lo que a continuación se señala: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“Yo____________________________, RUN ____________________________, profesión u oficio _____________, estado civil _______________, domiciliado en ___________, cargo al que postula ____________, declaro bajo juramento: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4"/>
          <w:szCs w:val="24"/>
          <w:rtl w:val="0"/>
        </w:rPr>
        <w:t xml:space="preserve">Recibir en el acto</w:t>
      </w:r>
      <w:r w:rsidDel="00000000" w:rsidR="00000000" w:rsidRPr="00000000">
        <w:rPr>
          <w:rFonts w:ascii="Palatino Linotype" w:cs="Palatino Linotype" w:eastAsia="Palatino Linotype" w:hAnsi="Palatino Linotype"/>
          <w:color w:val="000000"/>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información relacionada con la </w:t>
      </w:r>
      <w:r w:rsidDel="00000000" w:rsidR="00000000" w:rsidRPr="00000000">
        <w:rPr>
          <w:rFonts w:ascii="Palatino Linotype" w:cs="Palatino Linotype" w:eastAsia="Palatino Linotype" w:hAnsi="Palatino Linotype"/>
          <w:color w:val="000000"/>
          <w:sz w:val="24"/>
          <w:szCs w:val="24"/>
          <w:rtl w:val="0"/>
        </w:rPr>
        <w:t xml:space="preserve">normativa dictada por Sercotec, en especial, el Reglamento de Operadores de Centros, Bases de Concurso, Procedimiento Sancionatorio, Instructivo sobre Procedimiento de Selección de Profesionales de Centros.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 _____No______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sz w:val="24"/>
          <w:szCs w:val="24"/>
          <w:rtl w:val="0"/>
        </w:rPr>
        <w:t xml:space="preserve">Conocer que el cargo al que postula requiere un fiel cumplimiento de la Ley sobre Protección de Datos Personales, confidencialidad de la información, y observancia de las disposiciones relativas a la política de seguridad de la información del Servicio de Cooperación Técnica, Sercotec.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Sí_____ No______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sz w:val="24"/>
          <w:szCs w:val="24"/>
          <w:rtl w:val="0"/>
        </w:rPr>
        <w:t xml:space="preserve">Estar sujeto a las inhabilidades y/o incompatibilidades que se señalan o a cualquier otra circunstancia que implique un conflicto de intereses, incluso potencial, y que, en general, afecte el principio de probidad.</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Sí_____ No______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sz w:val="24"/>
          <w:szCs w:val="24"/>
          <w:rtl w:val="0"/>
        </w:rPr>
        <w:t xml:space="preserve">Estar en cualquiera de los siguientes casos: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Parentesco hasta el 2do grado de consanguinidad o afinidad, inclusive, con miembros Directivos del Operador o de Sercotec.  </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Vínculos con empresas proveedoras o prestadora de servicios al Centro (empresas de publicidad, consultoras externas, etc.).</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Contratos vigentes o litigios pendientes con Sercotec.</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Participación en sociedades con contratos o litigios con Sercotec.</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Representación de sociedades con contratos o litigios con Sercotec.</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color w:val="222222"/>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Sí_____ No______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108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Conocer que Sercotec, para asegurar la idoneidad del cargo, en la instancia de ajustes o durante su desempeño, se encontrará facultado para solicitar antecedentes adicionales a distintas entidades, tales como el Registro Civil, Conservador de Bienes Raíces, Servicios de Impuestos Internos, Tesorería General de la República, etc., con el propósito de iniciar investigaciones de eventuales incumplimientos relacionados con el presente documento, y que afecten su desempeño en el cargo, conforme a la normativa vigente.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360" w:firstLine="0"/>
        <w:jc w:val="both"/>
        <w:rPr>
          <w:rFonts w:ascii="Palatino Linotype" w:cs="Palatino Linotype" w:eastAsia="Palatino Linotype" w:hAnsi="Palatino Linotype"/>
          <w:color w:val="222222"/>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360" w:firstLine="348"/>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Sí_____ No______</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firstLine="708"/>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Observaciones: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4.- Además se solicita declarar si se realiza alguna actividad remunerada adicional a los servicios prestados para el Centro. En caso afirmativo indicar de qué trata la actividad y en qué horario es realizada.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Sí_____ No______</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Observaciones: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5.- Por último, se solicita declarar si realizan actividades docentes o capacitación. En caso afirmativo, señalar qué actividades, dónde y en qué horario se realizan.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Sí_____ No______</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Observaciones: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______________________________</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Firma</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36"/>
          <w:szCs w:val="36"/>
        </w:rPr>
      </w:pPr>
      <w:r w:rsidDel="00000000" w:rsidR="00000000" w:rsidRPr="00000000">
        <w:rPr>
          <w:rFonts w:ascii="Palatino Linotype" w:cs="Palatino Linotype" w:eastAsia="Palatino Linotype" w:hAnsi="Palatino Linotype"/>
          <w:sz w:val="24"/>
          <w:szCs w:val="24"/>
          <w:rtl w:val="0"/>
        </w:rPr>
        <w:t xml:space="preserve">Run</w:t>
      </w:r>
      <w:r w:rsidDel="00000000" w:rsidR="00000000" w:rsidRPr="00000000">
        <w:rPr>
          <w:rtl w:val="0"/>
        </w:rPr>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Arial"/>
  <w:font w:name="Courier New"/>
  <w:font w:name="Verdan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rFonts w:ascii="Cambria" w:cs="Cambria" w:eastAsia="Cambria" w:hAnsi="Cambria"/>
      </w:rPr>
      <w:drawing>
        <wp:inline distB="114300" distT="114300" distL="114300" distR="114300">
          <wp:extent cx="1070610" cy="50897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0610" cy="5089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1080" w:hanging="1080"/>
      </w:pPr>
      <w:rPr>
        <w:rFonts w:ascii="Arial" w:cs="Arial" w:eastAsia="Arial" w:hAnsi="Arial"/>
        <w:b w:val="0"/>
        <w:i w:val="1"/>
        <w:smallCaps w:val="0"/>
        <w:strike w:val="0"/>
        <w:color w:val="000000"/>
        <w:sz w:val="20"/>
        <w:szCs w:val="20"/>
        <w:u w:val="none"/>
        <w:shd w:fill="auto" w:val="clear"/>
        <w:vertAlign w:val="baseline"/>
      </w:rPr>
    </w:lvl>
    <w:lvl w:ilvl="1">
      <w:start w:val="1"/>
      <w:numFmt w:val="bullet"/>
      <w:lvlText w:val="○"/>
      <w:lvlJc w:val="left"/>
      <w:pPr>
        <w:ind w:left="1800" w:hanging="180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520" w:hanging="252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240" w:hanging="324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960" w:hanging="396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680" w:hanging="468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400" w:hanging="540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120" w:hanging="612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840" w:hanging="684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419"/>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