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7592C5A4"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REGIÓN DE</w:t>
      </w:r>
      <w:r w:rsidR="00DE080C">
        <w:rPr>
          <w:rFonts w:eastAsia="Arial Unicode MS" w:cs="Arial"/>
          <w:b/>
          <w:bCs/>
          <w:sz w:val="40"/>
          <w:szCs w:val="40"/>
        </w:rPr>
        <w:t>L BIOBÍO</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56703464" w14:textId="744C59B8" w:rsidR="005C3781"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80113598" w:history="1">
            <w:r w:rsidR="005C3781" w:rsidRPr="007B0517">
              <w:rPr>
                <w:rStyle w:val="Hipervnculo"/>
                <w:noProof/>
              </w:rPr>
              <w:t>1.</w:t>
            </w:r>
            <w:r w:rsidR="005C3781">
              <w:rPr>
                <w:rFonts w:asciiTheme="minorHAnsi" w:eastAsiaTheme="minorEastAsia" w:hAnsiTheme="minorHAnsi" w:cstheme="minorBidi"/>
                <w:b w:val="0"/>
                <w:bCs w:val="0"/>
                <w:noProof/>
                <w:lang w:val="es-CL" w:eastAsia="es-CL"/>
              </w:rPr>
              <w:tab/>
            </w:r>
            <w:r w:rsidR="005C3781" w:rsidRPr="007B0517">
              <w:rPr>
                <w:rStyle w:val="Hipervnculo"/>
                <w:noProof/>
              </w:rPr>
              <w:t>DESCRIPCIÓN DEL INSTRUMENTO.</w:t>
            </w:r>
            <w:r w:rsidR="005C3781">
              <w:rPr>
                <w:noProof/>
                <w:webHidden/>
              </w:rPr>
              <w:tab/>
            </w:r>
            <w:r w:rsidR="005C3781">
              <w:rPr>
                <w:noProof/>
                <w:webHidden/>
              </w:rPr>
              <w:fldChar w:fldCharType="begin"/>
            </w:r>
            <w:r w:rsidR="005C3781">
              <w:rPr>
                <w:noProof/>
                <w:webHidden/>
              </w:rPr>
              <w:instrText xml:space="preserve"> PAGEREF _Toc80113598 \h </w:instrText>
            </w:r>
            <w:r w:rsidR="005C3781">
              <w:rPr>
                <w:noProof/>
                <w:webHidden/>
              </w:rPr>
            </w:r>
            <w:r w:rsidR="005C3781">
              <w:rPr>
                <w:noProof/>
                <w:webHidden/>
              </w:rPr>
              <w:fldChar w:fldCharType="separate"/>
            </w:r>
            <w:r w:rsidR="00EF13D8">
              <w:rPr>
                <w:noProof/>
                <w:webHidden/>
              </w:rPr>
              <w:t>3</w:t>
            </w:r>
            <w:r w:rsidR="005C3781">
              <w:rPr>
                <w:noProof/>
                <w:webHidden/>
              </w:rPr>
              <w:fldChar w:fldCharType="end"/>
            </w:r>
          </w:hyperlink>
        </w:p>
        <w:p w14:paraId="2996B8F8" w14:textId="47750C8C" w:rsidR="005C3781" w:rsidRDefault="00F23357">
          <w:pPr>
            <w:pStyle w:val="TDC2"/>
            <w:rPr>
              <w:rFonts w:asciiTheme="minorHAnsi" w:eastAsiaTheme="minorEastAsia" w:hAnsiTheme="minorHAnsi" w:cstheme="minorBidi"/>
              <w:b w:val="0"/>
              <w:bCs w:val="0"/>
              <w:noProof/>
              <w:lang w:val="es-CL" w:eastAsia="es-CL"/>
            </w:rPr>
          </w:pPr>
          <w:hyperlink w:anchor="_Toc80113599" w:history="1">
            <w:r w:rsidR="005C3781" w:rsidRPr="007B0517">
              <w:rPr>
                <w:rStyle w:val="Hipervnculo"/>
                <w:noProof/>
              </w:rPr>
              <w:t>1.1.</w:t>
            </w:r>
            <w:r w:rsidR="005C3781">
              <w:rPr>
                <w:rFonts w:asciiTheme="minorHAnsi" w:eastAsiaTheme="minorEastAsia" w:hAnsiTheme="minorHAnsi" w:cstheme="minorBidi"/>
                <w:b w:val="0"/>
                <w:bCs w:val="0"/>
                <w:noProof/>
                <w:lang w:val="es-CL" w:eastAsia="es-CL"/>
              </w:rPr>
              <w:tab/>
            </w:r>
            <w:r w:rsidR="005C3781" w:rsidRPr="007B0517">
              <w:rPr>
                <w:rStyle w:val="Hipervnculo"/>
                <w:noProof/>
              </w:rPr>
              <w:t>¿Qué es?</w:t>
            </w:r>
            <w:r w:rsidR="005C3781">
              <w:rPr>
                <w:noProof/>
                <w:webHidden/>
              </w:rPr>
              <w:tab/>
            </w:r>
            <w:r w:rsidR="005C3781">
              <w:rPr>
                <w:noProof/>
                <w:webHidden/>
              </w:rPr>
              <w:fldChar w:fldCharType="begin"/>
            </w:r>
            <w:r w:rsidR="005C3781">
              <w:rPr>
                <w:noProof/>
                <w:webHidden/>
              </w:rPr>
              <w:instrText xml:space="preserve"> PAGEREF _Toc80113599 \h </w:instrText>
            </w:r>
            <w:r w:rsidR="005C3781">
              <w:rPr>
                <w:noProof/>
                <w:webHidden/>
              </w:rPr>
            </w:r>
            <w:r w:rsidR="005C3781">
              <w:rPr>
                <w:noProof/>
                <w:webHidden/>
              </w:rPr>
              <w:fldChar w:fldCharType="separate"/>
            </w:r>
            <w:r w:rsidR="00EF13D8">
              <w:rPr>
                <w:noProof/>
                <w:webHidden/>
              </w:rPr>
              <w:t>3</w:t>
            </w:r>
            <w:r w:rsidR="005C3781">
              <w:rPr>
                <w:noProof/>
                <w:webHidden/>
              </w:rPr>
              <w:fldChar w:fldCharType="end"/>
            </w:r>
          </w:hyperlink>
        </w:p>
        <w:p w14:paraId="1642D75D" w14:textId="75726BC6" w:rsidR="005C3781" w:rsidRDefault="00F23357">
          <w:pPr>
            <w:pStyle w:val="TDC2"/>
            <w:rPr>
              <w:rFonts w:asciiTheme="minorHAnsi" w:eastAsiaTheme="minorEastAsia" w:hAnsiTheme="minorHAnsi" w:cstheme="minorBidi"/>
              <w:b w:val="0"/>
              <w:bCs w:val="0"/>
              <w:noProof/>
              <w:lang w:val="es-CL" w:eastAsia="es-CL"/>
            </w:rPr>
          </w:pPr>
          <w:hyperlink w:anchor="_Toc80113600" w:history="1">
            <w:r w:rsidR="005C3781" w:rsidRPr="007B0517">
              <w:rPr>
                <w:rStyle w:val="Hipervnculo"/>
                <w:noProof/>
              </w:rPr>
              <w:t>1.2.</w:t>
            </w:r>
            <w:r w:rsidR="005C3781">
              <w:rPr>
                <w:rFonts w:asciiTheme="minorHAnsi" w:eastAsiaTheme="minorEastAsia" w:hAnsiTheme="minorHAnsi" w:cstheme="minorBidi"/>
                <w:b w:val="0"/>
                <w:bCs w:val="0"/>
                <w:noProof/>
                <w:lang w:val="es-CL" w:eastAsia="es-CL"/>
              </w:rPr>
              <w:tab/>
            </w:r>
            <w:r w:rsidR="005C3781" w:rsidRPr="007B0517">
              <w:rPr>
                <w:rStyle w:val="Hipervnculo"/>
                <w:noProof/>
              </w:rPr>
              <w:t>¿A quiénes está dirigido?</w:t>
            </w:r>
            <w:r w:rsidR="005C3781">
              <w:rPr>
                <w:noProof/>
                <w:webHidden/>
              </w:rPr>
              <w:tab/>
            </w:r>
            <w:r w:rsidR="005C3781">
              <w:rPr>
                <w:noProof/>
                <w:webHidden/>
              </w:rPr>
              <w:fldChar w:fldCharType="begin"/>
            </w:r>
            <w:r w:rsidR="005C3781">
              <w:rPr>
                <w:noProof/>
                <w:webHidden/>
              </w:rPr>
              <w:instrText xml:space="preserve"> PAGEREF _Toc80113600 \h </w:instrText>
            </w:r>
            <w:r w:rsidR="005C3781">
              <w:rPr>
                <w:noProof/>
                <w:webHidden/>
              </w:rPr>
            </w:r>
            <w:r w:rsidR="005C3781">
              <w:rPr>
                <w:noProof/>
                <w:webHidden/>
              </w:rPr>
              <w:fldChar w:fldCharType="separate"/>
            </w:r>
            <w:r w:rsidR="00EF13D8">
              <w:rPr>
                <w:noProof/>
                <w:webHidden/>
              </w:rPr>
              <w:t>3</w:t>
            </w:r>
            <w:r w:rsidR="005C3781">
              <w:rPr>
                <w:noProof/>
                <w:webHidden/>
              </w:rPr>
              <w:fldChar w:fldCharType="end"/>
            </w:r>
          </w:hyperlink>
        </w:p>
        <w:p w14:paraId="1D4CD963" w14:textId="51828508" w:rsidR="005C3781" w:rsidRDefault="00F23357">
          <w:pPr>
            <w:pStyle w:val="TDC2"/>
            <w:rPr>
              <w:rFonts w:asciiTheme="minorHAnsi" w:eastAsiaTheme="minorEastAsia" w:hAnsiTheme="minorHAnsi" w:cstheme="minorBidi"/>
              <w:b w:val="0"/>
              <w:bCs w:val="0"/>
              <w:noProof/>
              <w:lang w:val="es-CL" w:eastAsia="es-CL"/>
            </w:rPr>
          </w:pPr>
          <w:hyperlink w:anchor="_Toc80113601" w:history="1">
            <w:r w:rsidR="005C3781" w:rsidRPr="007B0517">
              <w:rPr>
                <w:rStyle w:val="Hipervnculo"/>
                <w:noProof/>
              </w:rPr>
              <w:t>1.3.</w:t>
            </w:r>
            <w:r w:rsidR="005C3781">
              <w:rPr>
                <w:rFonts w:asciiTheme="minorHAnsi" w:eastAsiaTheme="minorEastAsia" w:hAnsiTheme="minorHAnsi" w:cstheme="minorBidi"/>
                <w:b w:val="0"/>
                <w:bCs w:val="0"/>
                <w:noProof/>
                <w:lang w:val="es-CL" w:eastAsia="es-CL"/>
              </w:rPr>
              <w:tab/>
            </w:r>
            <w:r w:rsidR="005C3781" w:rsidRPr="007B0517">
              <w:rPr>
                <w:rStyle w:val="Hipervnculo"/>
                <w:noProof/>
              </w:rPr>
              <w:t>¿Quiénes no pueden participar?</w:t>
            </w:r>
            <w:r w:rsidR="005C3781">
              <w:rPr>
                <w:noProof/>
                <w:webHidden/>
              </w:rPr>
              <w:tab/>
            </w:r>
            <w:r w:rsidR="005C3781">
              <w:rPr>
                <w:noProof/>
                <w:webHidden/>
              </w:rPr>
              <w:fldChar w:fldCharType="begin"/>
            </w:r>
            <w:r w:rsidR="005C3781">
              <w:rPr>
                <w:noProof/>
                <w:webHidden/>
              </w:rPr>
              <w:instrText xml:space="preserve"> PAGEREF _Toc80113601 \h </w:instrText>
            </w:r>
            <w:r w:rsidR="005C3781">
              <w:rPr>
                <w:noProof/>
                <w:webHidden/>
              </w:rPr>
            </w:r>
            <w:r w:rsidR="005C3781">
              <w:rPr>
                <w:noProof/>
                <w:webHidden/>
              </w:rPr>
              <w:fldChar w:fldCharType="separate"/>
            </w:r>
            <w:r w:rsidR="00EF13D8">
              <w:rPr>
                <w:noProof/>
                <w:webHidden/>
              </w:rPr>
              <w:t>4</w:t>
            </w:r>
            <w:r w:rsidR="005C3781">
              <w:rPr>
                <w:noProof/>
                <w:webHidden/>
              </w:rPr>
              <w:fldChar w:fldCharType="end"/>
            </w:r>
          </w:hyperlink>
        </w:p>
        <w:p w14:paraId="283C7333" w14:textId="1DDC415C" w:rsidR="005C3781" w:rsidRDefault="00F23357">
          <w:pPr>
            <w:pStyle w:val="TDC2"/>
            <w:rPr>
              <w:rFonts w:asciiTheme="minorHAnsi" w:eastAsiaTheme="minorEastAsia" w:hAnsiTheme="minorHAnsi" w:cstheme="minorBidi"/>
              <w:b w:val="0"/>
              <w:bCs w:val="0"/>
              <w:noProof/>
              <w:lang w:val="es-CL" w:eastAsia="es-CL"/>
            </w:rPr>
          </w:pPr>
          <w:hyperlink w:anchor="_Toc80113602" w:history="1">
            <w:r w:rsidR="005C3781" w:rsidRPr="007B0517">
              <w:rPr>
                <w:rStyle w:val="Hipervnculo"/>
                <w:rFonts w:eastAsia="Arial Unicode MS"/>
                <w:noProof/>
              </w:rPr>
              <w:t>1.4.</w:t>
            </w:r>
            <w:r w:rsidR="005C3781">
              <w:rPr>
                <w:rFonts w:asciiTheme="minorHAnsi" w:eastAsiaTheme="minorEastAsia" w:hAnsiTheme="minorHAnsi" w:cstheme="minorBidi"/>
                <w:b w:val="0"/>
                <w:bCs w:val="0"/>
                <w:noProof/>
                <w:lang w:val="es-CL" w:eastAsia="es-CL"/>
              </w:rPr>
              <w:tab/>
            </w:r>
            <w:r w:rsidR="005C3781" w:rsidRPr="007B0517">
              <w:rPr>
                <w:rStyle w:val="Hipervnculo"/>
                <w:noProof/>
              </w:rPr>
              <w:t>Focalización de la convocatoria.</w:t>
            </w:r>
            <w:r w:rsidR="005C3781">
              <w:rPr>
                <w:noProof/>
                <w:webHidden/>
              </w:rPr>
              <w:tab/>
            </w:r>
            <w:r w:rsidR="005C3781">
              <w:rPr>
                <w:noProof/>
                <w:webHidden/>
              </w:rPr>
              <w:fldChar w:fldCharType="begin"/>
            </w:r>
            <w:r w:rsidR="005C3781">
              <w:rPr>
                <w:noProof/>
                <w:webHidden/>
              </w:rPr>
              <w:instrText xml:space="preserve"> PAGEREF _Toc80113602 \h </w:instrText>
            </w:r>
            <w:r w:rsidR="005C3781">
              <w:rPr>
                <w:noProof/>
                <w:webHidden/>
              </w:rPr>
            </w:r>
            <w:r w:rsidR="005C3781">
              <w:rPr>
                <w:noProof/>
                <w:webHidden/>
              </w:rPr>
              <w:fldChar w:fldCharType="separate"/>
            </w:r>
            <w:r w:rsidR="00EF13D8">
              <w:rPr>
                <w:noProof/>
                <w:webHidden/>
              </w:rPr>
              <w:t>5</w:t>
            </w:r>
            <w:r w:rsidR="005C3781">
              <w:rPr>
                <w:noProof/>
                <w:webHidden/>
              </w:rPr>
              <w:fldChar w:fldCharType="end"/>
            </w:r>
          </w:hyperlink>
        </w:p>
        <w:p w14:paraId="321C22E7" w14:textId="71D71F0E" w:rsidR="005C3781" w:rsidRDefault="00F23357">
          <w:pPr>
            <w:pStyle w:val="TDC2"/>
            <w:rPr>
              <w:rFonts w:asciiTheme="minorHAnsi" w:eastAsiaTheme="minorEastAsia" w:hAnsiTheme="minorHAnsi" w:cstheme="minorBidi"/>
              <w:b w:val="0"/>
              <w:bCs w:val="0"/>
              <w:noProof/>
              <w:lang w:val="es-CL" w:eastAsia="es-CL"/>
            </w:rPr>
          </w:pPr>
          <w:hyperlink w:anchor="_Toc80113603" w:history="1">
            <w:r w:rsidR="005C3781" w:rsidRPr="007B0517">
              <w:rPr>
                <w:rStyle w:val="Hipervnculo"/>
                <w:rFonts w:eastAsia="Arial Unicode MS" w:cs="Arial"/>
                <w:noProof/>
              </w:rPr>
              <w:t>1.5.</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cs="Arial"/>
                <w:noProof/>
              </w:rPr>
              <w:t xml:space="preserve">Requisitos de la </w:t>
            </w:r>
            <w:r w:rsidR="005C3781" w:rsidRPr="007B0517">
              <w:rPr>
                <w:rStyle w:val="Hipervnculo"/>
                <w:noProof/>
              </w:rPr>
              <w:t>convocatoria</w:t>
            </w:r>
            <w:r w:rsidR="005C3781" w:rsidRPr="007B0517">
              <w:rPr>
                <w:rStyle w:val="Hipervnculo"/>
                <w:rFonts w:eastAsia="Arial Unicode MS" w:cs="Arial"/>
                <w:noProof/>
              </w:rPr>
              <w:t>.</w:t>
            </w:r>
            <w:r w:rsidR="005C3781">
              <w:rPr>
                <w:noProof/>
                <w:webHidden/>
              </w:rPr>
              <w:tab/>
            </w:r>
            <w:r w:rsidR="005C3781">
              <w:rPr>
                <w:noProof/>
                <w:webHidden/>
              </w:rPr>
              <w:fldChar w:fldCharType="begin"/>
            </w:r>
            <w:r w:rsidR="005C3781">
              <w:rPr>
                <w:noProof/>
                <w:webHidden/>
              </w:rPr>
              <w:instrText xml:space="preserve"> PAGEREF _Toc80113603 \h </w:instrText>
            </w:r>
            <w:r w:rsidR="005C3781">
              <w:rPr>
                <w:noProof/>
                <w:webHidden/>
              </w:rPr>
            </w:r>
            <w:r w:rsidR="005C3781">
              <w:rPr>
                <w:noProof/>
                <w:webHidden/>
              </w:rPr>
              <w:fldChar w:fldCharType="separate"/>
            </w:r>
            <w:r w:rsidR="00EF13D8">
              <w:rPr>
                <w:noProof/>
                <w:webHidden/>
              </w:rPr>
              <w:t>5</w:t>
            </w:r>
            <w:r w:rsidR="005C3781">
              <w:rPr>
                <w:noProof/>
                <w:webHidden/>
              </w:rPr>
              <w:fldChar w:fldCharType="end"/>
            </w:r>
          </w:hyperlink>
        </w:p>
        <w:p w14:paraId="7C73B44F" w14:textId="02A6EE1D" w:rsidR="005C3781" w:rsidRDefault="00F23357">
          <w:pPr>
            <w:pStyle w:val="TDC2"/>
            <w:rPr>
              <w:rFonts w:asciiTheme="minorHAnsi" w:eastAsiaTheme="minorEastAsia" w:hAnsiTheme="minorHAnsi" w:cstheme="minorBidi"/>
              <w:b w:val="0"/>
              <w:bCs w:val="0"/>
              <w:noProof/>
              <w:lang w:val="es-CL" w:eastAsia="es-CL"/>
            </w:rPr>
          </w:pPr>
          <w:hyperlink w:anchor="_Toc80113604" w:history="1">
            <w:r w:rsidR="005C3781" w:rsidRPr="007B0517">
              <w:rPr>
                <w:rStyle w:val="Hipervnculo"/>
                <w:rFonts w:eastAsia="Arial Unicode MS" w:cs="Arial"/>
                <w:noProof/>
                <w:lang w:val="es-CL"/>
              </w:rPr>
              <w:t>1.6</w:t>
            </w:r>
            <w:r w:rsidR="005C3781" w:rsidRPr="007B0517">
              <w:rPr>
                <w:rStyle w:val="Hipervnculo"/>
                <w:rFonts w:eastAsia="Arial Unicode MS"/>
                <w:noProof/>
              </w:rPr>
              <w:t xml:space="preserve"> ¿Qué financia?</w:t>
            </w:r>
            <w:r w:rsidR="005C3781">
              <w:rPr>
                <w:noProof/>
                <w:webHidden/>
              </w:rPr>
              <w:tab/>
            </w:r>
            <w:r w:rsidR="005C3781">
              <w:rPr>
                <w:noProof/>
                <w:webHidden/>
              </w:rPr>
              <w:fldChar w:fldCharType="begin"/>
            </w:r>
            <w:r w:rsidR="005C3781">
              <w:rPr>
                <w:noProof/>
                <w:webHidden/>
              </w:rPr>
              <w:instrText xml:space="preserve"> PAGEREF _Toc80113604 \h </w:instrText>
            </w:r>
            <w:r w:rsidR="005C3781">
              <w:rPr>
                <w:noProof/>
                <w:webHidden/>
              </w:rPr>
            </w:r>
            <w:r w:rsidR="005C3781">
              <w:rPr>
                <w:noProof/>
                <w:webHidden/>
              </w:rPr>
              <w:fldChar w:fldCharType="separate"/>
            </w:r>
            <w:r w:rsidR="00EF13D8">
              <w:rPr>
                <w:noProof/>
                <w:webHidden/>
              </w:rPr>
              <w:t>8</w:t>
            </w:r>
            <w:r w:rsidR="005C3781">
              <w:rPr>
                <w:noProof/>
                <w:webHidden/>
              </w:rPr>
              <w:fldChar w:fldCharType="end"/>
            </w:r>
          </w:hyperlink>
        </w:p>
        <w:p w14:paraId="7DD923F8" w14:textId="5C12A72B" w:rsidR="005C3781" w:rsidRDefault="00F23357">
          <w:pPr>
            <w:pStyle w:val="TDC2"/>
            <w:rPr>
              <w:rFonts w:asciiTheme="minorHAnsi" w:eastAsiaTheme="minorEastAsia" w:hAnsiTheme="minorHAnsi" w:cstheme="minorBidi"/>
              <w:b w:val="0"/>
              <w:bCs w:val="0"/>
              <w:noProof/>
              <w:lang w:val="es-CL" w:eastAsia="es-CL"/>
            </w:rPr>
          </w:pPr>
          <w:hyperlink w:anchor="_Toc80113605" w:history="1">
            <w:r w:rsidR="005C3781" w:rsidRPr="007B0517">
              <w:rPr>
                <w:rStyle w:val="Hipervnculo"/>
                <w:rFonts w:eastAsia="Arial Unicode MS" w:cs="Arial"/>
                <w:noProof/>
                <w:lang w:val="es-CL"/>
              </w:rPr>
              <w:t xml:space="preserve">1.7 </w:t>
            </w:r>
            <w:r w:rsidR="005C3781" w:rsidRPr="007B0517">
              <w:rPr>
                <w:rStyle w:val="Hipervnculo"/>
                <w:noProof/>
                <w:lang w:val="es-CL"/>
              </w:rPr>
              <w:t>¿Qué NO financia este Instrumento?</w:t>
            </w:r>
            <w:r w:rsidR="005C3781">
              <w:rPr>
                <w:noProof/>
                <w:webHidden/>
              </w:rPr>
              <w:tab/>
            </w:r>
            <w:r w:rsidR="005C3781">
              <w:rPr>
                <w:noProof/>
                <w:webHidden/>
              </w:rPr>
              <w:fldChar w:fldCharType="begin"/>
            </w:r>
            <w:r w:rsidR="005C3781">
              <w:rPr>
                <w:noProof/>
                <w:webHidden/>
              </w:rPr>
              <w:instrText xml:space="preserve"> PAGEREF _Toc80113605 \h </w:instrText>
            </w:r>
            <w:r w:rsidR="005C3781">
              <w:rPr>
                <w:noProof/>
                <w:webHidden/>
              </w:rPr>
            </w:r>
            <w:r w:rsidR="005C3781">
              <w:rPr>
                <w:noProof/>
                <w:webHidden/>
              </w:rPr>
              <w:fldChar w:fldCharType="separate"/>
            </w:r>
            <w:r w:rsidR="00EF13D8">
              <w:rPr>
                <w:noProof/>
                <w:webHidden/>
              </w:rPr>
              <w:t>9</w:t>
            </w:r>
            <w:r w:rsidR="005C3781">
              <w:rPr>
                <w:noProof/>
                <w:webHidden/>
              </w:rPr>
              <w:fldChar w:fldCharType="end"/>
            </w:r>
          </w:hyperlink>
        </w:p>
        <w:p w14:paraId="0E45E93E" w14:textId="7A7A38C6" w:rsidR="005C3781" w:rsidRDefault="00F23357">
          <w:pPr>
            <w:pStyle w:val="TDC2"/>
            <w:rPr>
              <w:rFonts w:asciiTheme="minorHAnsi" w:eastAsiaTheme="minorEastAsia" w:hAnsiTheme="minorHAnsi" w:cstheme="minorBidi"/>
              <w:b w:val="0"/>
              <w:bCs w:val="0"/>
              <w:noProof/>
              <w:lang w:val="es-CL" w:eastAsia="es-CL"/>
            </w:rPr>
          </w:pPr>
          <w:hyperlink w:anchor="_Toc80113606" w:history="1">
            <w:r w:rsidR="005C3781" w:rsidRPr="007B0517">
              <w:rPr>
                <w:rStyle w:val="Hipervnculo"/>
                <w:noProof/>
              </w:rPr>
              <w:t>2.</w:t>
            </w:r>
            <w:r w:rsidR="005C3781">
              <w:rPr>
                <w:rFonts w:asciiTheme="minorHAnsi" w:eastAsiaTheme="minorEastAsia" w:hAnsiTheme="minorHAnsi" w:cstheme="minorBidi"/>
                <w:b w:val="0"/>
                <w:bCs w:val="0"/>
                <w:noProof/>
                <w:lang w:val="es-CL" w:eastAsia="es-CL"/>
              </w:rPr>
              <w:tab/>
            </w:r>
            <w:r w:rsidR="005C3781" w:rsidRPr="007B0517">
              <w:rPr>
                <w:rStyle w:val="Hipervnculo"/>
                <w:noProof/>
              </w:rPr>
              <w:t>POSTULACIÓN</w:t>
            </w:r>
            <w:r w:rsidR="005C3781">
              <w:rPr>
                <w:noProof/>
                <w:webHidden/>
              </w:rPr>
              <w:tab/>
            </w:r>
            <w:r w:rsidR="005C3781">
              <w:rPr>
                <w:noProof/>
                <w:webHidden/>
              </w:rPr>
              <w:fldChar w:fldCharType="begin"/>
            </w:r>
            <w:r w:rsidR="005C3781">
              <w:rPr>
                <w:noProof/>
                <w:webHidden/>
              </w:rPr>
              <w:instrText xml:space="preserve"> PAGEREF _Toc80113606 \h </w:instrText>
            </w:r>
            <w:r w:rsidR="005C3781">
              <w:rPr>
                <w:noProof/>
                <w:webHidden/>
              </w:rPr>
            </w:r>
            <w:r w:rsidR="005C3781">
              <w:rPr>
                <w:noProof/>
                <w:webHidden/>
              </w:rPr>
              <w:fldChar w:fldCharType="separate"/>
            </w:r>
            <w:r w:rsidR="00EF13D8">
              <w:rPr>
                <w:noProof/>
                <w:webHidden/>
              </w:rPr>
              <w:t>10</w:t>
            </w:r>
            <w:r w:rsidR="005C3781">
              <w:rPr>
                <w:noProof/>
                <w:webHidden/>
              </w:rPr>
              <w:fldChar w:fldCharType="end"/>
            </w:r>
          </w:hyperlink>
        </w:p>
        <w:p w14:paraId="2B11A4A6" w14:textId="7A3AB72F" w:rsidR="005C3781" w:rsidRDefault="00F23357">
          <w:pPr>
            <w:pStyle w:val="TDC2"/>
            <w:rPr>
              <w:rFonts w:asciiTheme="minorHAnsi" w:eastAsiaTheme="minorEastAsia" w:hAnsiTheme="minorHAnsi" w:cstheme="minorBidi"/>
              <w:b w:val="0"/>
              <w:bCs w:val="0"/>
              <w:noProof/>
              <w:lang w:val="es-CL" w:eastAsia="es-CL"/>
            </w:rPr>
          </w:pPr>
          <w:hyperlink w:anchor="_Toc80113607" w:history="1">
            <w:r w:rsidR="005C3781" w:rsidRPr="007B0517">
              <w:rPr>
                <w:rStyle w:val="Hipervnculo"/>
                <w:noProof/>
                <w:lang w:val="es-CL"/>
              </w:rPr>
              <w:t>2.1.</w:t>
            </w:r>
            <w:r w:rsidR="005C3781">
              <w:rPr>
                <w:rFonts w:asciiTheme="minorHAnsi" w:eastAsiaTheme="minorEastAsia" w:hAnsiTheme="minorHAnsi" w:cstheme="minorBidi"/>
                <w:b w:val="0"/>
                <w:bCs w:val="0"/>
                <w:noProof/>
                <w:lang w:val="es-CL" w:eastAsia="es-CL"/>
              </w:rPr>
              <w:tab/>
            </w:r>
            <w:r w:rsidR="005C3781" w:rsidRPr="007B0517">
              <w:rPr>
                <w:rStyle w:val="Hipervnculo"/>
                <w:noProof/>
                <w:lang w:val="es-CL"/>
              </w:rPr>
              <w:t>Plazos de postulación</w:t>
            </w:r>
            <w:r w:rsidR="005C3781">
              <w:rPr>
                <w:noProof/>
                <w:webHidden/>
              </w:rPr>
              <w:tab/>
            </w:r>
            <w:r w:rsidR="005C3781">
              <w:rPr>
                <w:noProof/>
                <w:webHidden/>
              </w:rPr>
              <w:fldChar w:fldCharType="begin"/>
            </w:r>
            <w:r w:rsidR="005C3781">
              <w:rPr>
                <w:noProof/>
                <w:webHidden/>
              </w:rPr>
              <w:instrText xml:space="preserve"> PAGEREF _Toc80113607 \h </w:instrText>
            </w:r>
            <w:r w:rsidR="005C3781">
              <w:rPr>
                <w:noProof/>
                <w:webHidden/>
              </w:rPr>
            </w:r>
            <w:r w:rsidR="005C3781">
              <w:rPr>
                <w:noProof/>
                <w:webHidden/>
              </w:rPr>
              <w:fldChar w:fldCharType="separate"/>
            </w:r>
            <w:r w:rsidR="00EF13D8">
              <w:rPr>
                <w:noProof/>
                <w:webHidden/>
              </w:rPr>
              <w:t>10</w:t>
            </w:r>
            <w:r w:rsidR="005C3781">
              <w:rPr>
                <w:noProof/>
                <w:webHidden/>
              </w:rPr>
              <w:fldChar w:fldCharType="end"/>
            </w:r>
          </w:hyperlink>
        </w:p>
        <w:p w14:paraId="5EE645D3" w14:textId="454482D1" w:rsidR="005C3781" w:rsidRDefault="00F23357">
          <w:pPr>
            <w:pStyle w:val="TDC2"/>
            <w:rPr>
              <w:rFonts w:asciiTheme="minorHAnsi" w:eastAsiaTheme="minorEastAsia" w:hAnsiTheme="minorHAnsi" w:cstheme="minorBidi"/>
              <w:b w:val="0"/>
              <w:bCs w:val="0"/>
              <w:noProof/>
              <w:lang w:val="es-CL" w:eastAsia="es-CL"/>
            </w:rPr>
          </w:pPr>
          <w:hyperlink w:anchor="_Toc80113608" w:history="1">
            <w:r w:rsidR="005C3781" w:rsidRPr="007B0517">
              <w:rPr>
                <w:rStyle w:val="Hipervnculo"/>
                <w:noProof/>
                <w:lang w:val="es-CL"/>
              </w:rPr>
              <w:t>2.2.</w:t>
            </w:r>
            <w:r w:rsidR="005C3781">
              <w:rPr>
                <w:rFonts w:asciiTheme="minorHAnsi" w:eastAsiaTheme="minorEastAsia" w:hAnsiTheme="minorHAnsi" w:cstheme="minorBidi"/>
                <w:b w:val="0"/>
                <w:bCs w:val="0"/>
                <w:noProof/>
                <w:lang w:val="es-CL" w:eastAsia="es-CL"/>
              </w:rPr>
              <w:tab/>
            </w:r>
            <w:r w:rsidR="005C3781" w:rsidRPr="007B0517">
              <w:rPr>
                <w:rStyle w:val="Hipervnculo"/>
                <w:noProof/>
                <w:lang w:val="es-CL"/>
              </w:rPr>
              <w:t>Pasos para postular</w:t>
            </w:r>
            <w:r w:rsidR="005C3781">
              <w:rPr>
                <w:noProof/>
                <w:webHidden/>
              </w:rPr>
              <w:tab/>
            </w:r>
            <w:r w:rsidR="005C3781">
              <w:rPr>
                <w:noProof/>
                <w:webHidden/>
              </w:rPr>
              <w:fldChar w:fldCharType="begin"/>
            </w:r>
            <w:r w:rsidR="005C3781">
              <w:rPr>
                <w:noProof/>
                <w:webHidden/>
              </w:rPr>
              <w:instrText xml:space="preserve"> PAGEREF _Toc80113608 \h </w:instrText>
            </w:r>
            <w:r w:rsidR="005C3781">
              <w:rPr>
                <w:noProof/>
                <w:webHidden/>
              </w:rPr>
            </w:r>
            <w:r w:rsidR="005C3781">
              <w:rPr>
                <w:noProof/>
                <w:webHidden/>
              </w:rPr>
              <w:fldChar w:fldCharType="separate"/>
            </w:r>
            <w:r w:rsidR="00EF13D8">
              <w:rPr>
                <w:noProof/>
                <w:webHidden/>
              </w:rPr>
              <w:t>11</w:t>
            </w:r>
            <w:r w:rsidR="005C3781">
              <w:rPr>
                <w:noProof/>
                <w:webHidden/>
              </w:rPr>
              <w:fldChar w:fldCharType="end"/>
            </w:r>
          </w:hyperlink>
        </w:p>
        <w:p w14:paraId="4311A178" w14:textId="7FF3E3FF" w:rsidR="005C3781" w:rsidRDefault="00F23357">
          <w:pPr>
            <w:pStyle w:val="TDC2"/>
            <w:rPr>
              <w:rFonts w:asciiTheme="minorHAnsi" w:eastAsiaTheme="minorEastAsia" w:hAnsiTheme="minorHAnsi" w:cstheme="minorBidi"/>
              <w:b w:val="0"/>
              <w:bCs w:val="0"/>
              <w:noProof/>
              <w:lang w:val="es-CL" w:eastAsia="es-CL"/>
            </w:rPr>
          </w:pPr>
          <w:hyperlink w:anchor="_Toc80113609" w:history="1">
            <w:r w:rsidR="005C3781" w:rsidRPr="007B0517">
              <w:rPr>
                <w:rStyle w:val="Hipervnculo"/>
                <w:noProof/>
                <w:lang w:val="es-CL"/>
              </w:rPr>
              <w:t>2.3.</w:t>
            </w:r>
            <w:r w:rsidR="005C3781">
              <w:rPr>
                <w:rFonts w:asciiTheme="minorHAnsi" w:eastAsiaTheme="minorEastAsia" w:hAnsiTheme="minorHAnsi" w:cstheme="minorBidi"/>
                <w:b w:val="0"/>
                <w:bCs w:val="0"/>
                <w:noProof/>
                <w:lang w:val="es-CL" w:eastAsia="es-CL"/>
              </w:rPr>
              <w:tab/>
            </w:r>
            <w:r w:rsidR="005C3781" w:rsidRPr="007B0517">
              <w:rPr>
                <w:rStyle w:val="Hipervnculo"/>
                <w:noProof/>
                <w:lang w:val="es-CL"/>
              </w:rPr>
              <w:t>Apoyo en el proceso de postulación</w:t>
            </w:r>
            <w:r w:rsidR="005C3781">
              <w:rPr>
                <w:noProof/>
                <w:webHidden/>
              </w:rPr>
              <w:tab/>
            </w:r>
            <w:r w:rsidR="005C3781">
              <w:rPr>
                <w:noProof/>
                <w:webHidden/>
              </w:rPr>
              <w:fldChar w:fldCharType="begin"/>
            </w:r>
            <w:r w:rsidR="005C3781">
              <w:rPr>
                <w:noProof/>
                <w:webHidden/>
              </w:rPr>
              <w:instrText xml:space="preserve"> PAGEREF _Toc80113609 \h </w:instrText>
            </w:r>
            <w:r w:rsidR="005C3781">
              <w:rPr>
                <w:noProof/>
                <w:webHidden/>
              </w:rPr>
            </w:r>
            <w:r w:rsidR="005C3781">
              <w:rPr>
                <w:noProof/>
                <w:webHidden/>
              </w:rPr>
              <w:fldChar w:fldCharType="separate"/>
            </w:r>
            <w:r w:rsidR="00EF13D8">
              <w:rPr>
                <w:noProof/>
                <w:webHidden/>
              </w:rPr>
              <w:t>14</w:t>
            </w:r>
            <w:r w:rsidR="005C3781">
              <w:rPr>
                <w:noProof/>
                <w:webHidden/>
              </w:rPr>
              <w:fldChar w:fldCharType="end"/>
            </w:r>
          </w:hyperlink>
        </w:p>
        <w:p w14:paraId="166C4F10" w14:textId="79E29736" w:rsidR="005C3781" w:rsidRDefault="00F23357">
          <w:pPr>
            <w:pStyle w:val="TDC2"/>
            <w:rPr>
              <w:rFonts w:asciiTheme="minorHAnsi" w:eastAsiaTheme="minorEastAsia" w:hAnsiTheme="minorHAnsi" w:cstheme="minorBidi"/>
              <w:b w:val="0"/>
              <w:bCs w:val="0"/>
              <w:noProof/>
              <w:lang w:val="es-CL" w:eastAsia="es-CL"/>
            </w:rPr>
          </w:pPr>
          <w:hyperlink w:anchor="_Toc80113610" w:history="1">
            <w:r w:rsidR="005C3781" w:rsidRPr="007B0517">
              <w:rPr>
                <w:rStyle w:val="Hipervnculo"/>
                <w:noProof/>
              </w:rPr>
              <w:t>3.</w:t>
            </w:r>
            <w:r w:rsidR="005C3781">
              <w:rPr>
                <w:rFonts w:asciiTheme="minorHAnsi" w:eastAsiaTheme="minorEastAsia" w:hAnsiTheme="minorHAnsi" w:cstheme="minorBidi"/>
                <w:b w:val="0"/>
                <w:bCs w:val="0"/>
                <w:noProof/>
                <w:lang w:val="es-CL" w:eastAsia="es-CL"/>
              </w:rPr>
              <w:tab/>
            </w:r>
            <w:r w:rsidR="005C3781" w:rsidRPr="007B0517">
              <w:rPr>
                <w:rStyle w:val="Hipervnculo"/>
                <w:noProof/>
              </w:rPr>
              <w:t>EVALUACIÓN Y SELECCIÓN</w:t>
            </w:r>
            <w:r w:rsidR="005C3781">
              <w:rPr>
                <w:noProof/>
                <w:webHidden/>
              </w:rPr>
              <w:tab/>
            </w:r>
            <w:r w:rsidR="005C3781">
              <w:rPr>
                <w:noProof/>
                <w:webHidden/>
              </w:rPr>
              <w:fldChar w:fldCharType="begin"/>
            </w:r>
            <w:r w:rsidR="005C3781">
              <w:rPr>
                <w:noProof/>
                <w:webHidden/>
              </w:rPr>
              <w:instrText xml:space="preserve"> PAGEREF _Toc80113610 \h </w:instrText>
            </w:r>
            <w:r w:rsidR="005C3781">
              <w:rPr>
                <w:noProof/>
                <w:webHidden/>
              </w:rPr>
            </w:r>
            <w:r w:rsidR="005C3781">
              <w:rPr>
                <w:noProof/>
                <w:webHidden/>
              </w:rPr>
              <w:fldChar w:fldCharType="separate"/>
            </w:r>
            <w:r w:rsidR="00EF13D8">
              <w:rPr>
                <w:noProof/>
                <w:webHidden/>
              </w:rPr>
              <w:t>14</w:t>
            </w:r>
            <w:r w:rsidR="005C3781">
              <w:rPr>
                <w:noProof/>
                <w:webHidden/>
              </w:rPr>
              <w:fldChar w:fldCharType="end"/>
            </w:r>
          </w:hyperlink>
        </w:p>
        <w:p w14:paraId="5421E3D1" w14:textId="35C634F1" w:rsidR="005C3781" w:rsidRDefault="00F23357">
          <w:pPr>
            <w:pStyle w:val="TDC2"/>
            <w:rPr>
              <w:rFonts w:asciiTheme="minorHAnsi" w:eastAsiaTheme="minorEastAsia" w:hAnsiTheme="minorHAnsi" w:cstheme="minorBidi"/>
              <w:b w:val="0"/>
              <w:bCs w:val="0"/>
              <w:noProof/>
              <w:lang w:val="es-CL" w:eastAsia="es-CL"/>
            </w:rPr>
          </w:pPr>
          <w:hyperlink w:anchor="_Toc80113611" w:history="1">
            <w:r w:rsidR="005C3781" w:rsidRPr="007B0517">
              <w:rPr>
                <w:rStyle w:val="Hipervnculo"/>
                <w:noProof/>
                <w:lang w:val="es-CL"/>
              </w:rPr>
              <w:t>3.1.</w:t>
            </w:r>
            <w:r w:rsidR="005C3781">
              <w:rPr>
                <w:rFonts w:asciiTheme="minorHAnsi" w:eastAsiaTheme="minorEastAsia" w:hAnsiTheme="minorHAnsi" w:cstheme="minorBidi"/>
                <w:b w:val="0"/>
                <w:bCs w:val="0"/>
                <w:noProof/>
                <w:lang w:val="es-CL" w:eastAsia="es-CL"/>
              </w:rPr>
              <w:tab/>
            </w:r>
            <w:r w:rsidR="005C3781" w:rsidRPr="007B0517">
              <w:rPr>
                <w:rStyle w:val="Hipervnculo"/>
                <w:noProof/>
                <w:lang w:val="es-CL"/>
              </w:rPr>
              <w:t>Evaluación de admisibilidad automática</w:t>
            </w:r>
            <w:r w:rsidR="005C3781">
              <w:rPr>
                <w:noProof/>
                <w:webHidden/>
              </w:rPr>
              <w:tab/>
            </w:r>
            <w:r w:rsidR="005C3781">
              <w:rPr>
                <w:noProof/>
                <w:webHidden/>
              </w:rPr>
              <w:fldChar w:fldCharType="begin"/>
            </w:r>
            <w:r w:rsidR="005C3781">
              <w:rPr>
                <w:noProof/>
                <w:webHidden/>
              </w:rPr>
              <w:instrText xml:space="preserve"> PAGEREF _Toc80113611 \h </w:instrText>
            </w:r>
            <w:r w:rsidR="005C3781">
              <w:rPr>
                <w:noProof/>
                <w:webHidden/>
              </w:rPr>
            </w:r>
            <w:r w:rsidR="005C3781">
              <w:rPr>
                <w:noProof/>
                <w:webHidden/>
              </w:rPr>
              <w:fldChar w:fldCharType="separate"/>
            </w:r>
            <w:r w:rsidR="00EF13D8">
              <w:rPr>
                <w:noProof/>
                <w:webHidden/>
              </w:rPr>
              <w:t>14</w:t>
            </w:r>
            <w:r w:rsidR="005C3781">
              <w:rPr>
                <w:noProof/>
                <w:webHidden/>
              </w:rPr>
              <w:fldChar w:fldCharType="end"/>
            </w:r>
          </w:hyperlink>
        </w:p>
        <w:p w14:paraId="332D9BF3" w14:textId="16032600" w:rsidR="005C3781" w:rsidRDefault="00F23357">
          <w:pPr>
            <w:pStyle w:val="TDC2"/>
            <w:rPr>
              <w:rFonts w:asciiTheme="minorHAnsi" w:eastAsiaTheme="minorEastAsia" w:hAnsiTheme="minorHAnsi" w:cstheme="minorBidi"/>
              <w:b w:val="0"/>
              <w:bCs w:val="0"/>
              <w:noProof/>
              <w:lang w:val="es-CL" w:eastAsia="es-CL"/>
            </w:rPr>
          </w:pPr>
          <w:hyperlink w:anchor="_Toc80113612" w:history="1">
            <w:r w:rsidR="005C3781" w:rsidRPr="007B0517">
              <w:rPr>
                <w:rStyle w:val="Hipervnculo"/>
                <w:noProof/>
                <w:lang w:val="es-CL"/>
              </w:rPr>
              <w:t>3.2.</w:t>
            </w:r>
            <w:r w:rsidR="005C3781">
              <w:rPr>
                <w:rFonts w:asciiTheme="minorHAnsi" w:eastAsiaTheme="minorEastAsia" w:hAnsiTheme="minorHAnsi" w:cstheme="minorBidi"/>
                <w:b w:val="0"/>
                <w:bCs w:val="0"/>
                <w:noProof/>
                <w:lang w:val="es-CL" w:eastAsia="es-CL"/>
              </w:rPr>
              <w:tab/>
            </w:r>
            <w:r w:rsidR="005C3781" w:rsidRPr="007B0517">
              <w:rPr>
                <w:rStyle w:val="Hipervnculo"/>
                <w:noProof/>
                <w:lang w:val="es-CL"/>
              </w:rPr>
              <w:t>Evaluación de admisibilidad manual</w:t>
            </w:r>
            <w:r w:rsidR="005C3781">
              <w:rPr>
                <w:noProof/>
                <w:webHidden/>
              </w:rPr>
              <w:tab/>
            </w:r>
            <w:r w:rsidR="005C3781">
              <w:rPr>
                <w:noProof/>
                <w:webHidden/>
              </w:rPr>
              <w:fldChar w:fldCharType="begin"/>
            </w:r>
            <w:r w:rsidR="005C3781">
              <w:rPr>
                <w:noProof/>
                <w:webHidden/>
              </w:rPr>
              <w:instrText xml:space="preserve"> PAGEREF _Toc80113612 \h </w:instrText>
            </w:r>
            <w:r w:rsidR="005C3781">
              <w:rPr>
                <w:noProof/>
                <w:webHidden/>
              </w:rPr>
            </w:r>
            <w:r w:rsidR="005C3781">
              <w:rPr>
                <w:noProof/>
                <w:webHidden/>
              </w:rPr>
              <w:fldChar w:fldCharType="separate"/>
            </w:r>
            <w:r w:rsidR="00EF13D8">
              <w:rPr>
                <w:noProof/>
                <w:webHidden/>
              </w:rPr>
              <w:t>14</w:t>
            </w:r>
            <w:r w:rsidR="005C3781">
              <w:rPr>
                <w:noProof/>
                <w:webHidden/>
              </w:rPr>
              <w:fldChar w:fldCharType="end"/>
            </w:r>
          </w:hyperlink>
        </w:p>
        <w:p w14:paraId="77C476A4" w14:textId="47115447" w:rsidR="005C3781" w:rsidRDefault="00F23357">
          <w:pPr>
            <w:pStyle w:val="TDC2"/>
            <w:rPr>
              <w:rFonts w:asciiTheme="minorHAnsi" w:eastAsiaTheme="minorEastAsia" w:hAnsiTheme="minorHAnsi" w:cstheme="minorBidi"/>
              <w:b w:val="0"/>
              <w:bCs w:val="0"/>
              <w:noProof/>
              <w:lang w:val="es-CL" w:eastAsia="es-CL"/>
            </w:rPr>
          </w:pPr>
          <w:hyperlink w:anchor="_Toc80113613" w:history="1">
            <w:r w:rsidR="005C3781" w:rsidRPr="007B0517">
              <w:rPr>
                <w:rStyle w:val="Hipervnculo"/>
                <w:rFonts w:cs="Arial"/>
                <w:noProof/>
                <w:lang w:val="es-CL"/>
              </w:rPr>
              <w:t>3.3.</w:t>
            </w:r>
            <w:r w:rsidR="005C3781">
              <w:rPr>
                <w:rFonts w:asciiTheme="minorHAnsi" w:eastAsiaTheme="minorEastAsia" w:hAnsiTheme="minorHAnsi" w:cstheme="minorBidi"/>
                <w:b w:val="0"/>
                <w:bCs w:val="0"/>
                <w:noProof/>
                <w:lang w:val="es-CL" w:eastAsia="es-CL"/>
              </w:rPr>
              <w:tab/>
            </w:r>
            <w:r w:rsidR="005C3781" w:rsidRPr="007B0517">
              <w:rPr>
                <w:rStyle w:val="Hipervnculo"/>
                <w:rFonts w:cs="Arial"/>
                <w:noProof/>
                <w:lang w:val="es-CL"/>
              </w:rPr>
              <w:t>Test de Preselección</w:t>
            </w:r>
            <w:r w:rsidR="005C3781">
              <w:rPr>
                <w:noProof/>
                <w:webHidden/>
              </w:rPr>
              <w:tab/>
            </w:r>
            <w:r w:rsidR="005C3781">
              <w:rPr>
                <w:noProof/>
                <w:webHidden/>
              </w:rPr>
              <w:fldChar w:fldCharType="begin"/>
            </w:r>
            <w:r w:rsidR="005C3781">
              <w:rPr>
                <w:noProof/>
                <w:webHidden/>
              </w:rPr>
              <w:instrText xml:space="preserve"> PAGEREF _Toc80113613 \h </w:instrText>
            </w:r>
            <w:r w:rsidR="005C3781">
              <w:rPr>
                <w:noProof/>
                <w:webHidden/>
              </w:rPr>
            </w:r>
            <w:r w:rsidR="005C3781">
              <w:rPr>
                <w:noProof/>
                <w:webHidden/>
              </w:rPr>
              <w:fldChar w:fldCharType="separate"/>
            </w:r>
            <w:r w:rsidR="00EF13D8">
              <w:rPr>
                <w:noProof/>
                <w:webHidden/>
              </w:rPr>
              <w:t>15</w:t>
            </w:r>
            <w:r w:rsidR="005C3781">
              <w:rPr>
                <w:noProof/>
                <w:webHidden/>
              </w:rPr>
              <w:fldChar w:fldCharType="end"/>
            </w:r>
          </w:hyperlink>
        </w:p>
        <w:p w14:paraId="470868B7" w14:textId="3150A73E" w:rsidR="005C3781" w:rsidRDefault="00F23357">
          <w:pPr>
            <w:pStyle w:val="TDC2"/>
            <w:rPr>
              <w:rFonts w:asciiTheme="minorHAnsi" w:eastAsiaTheme="minorEastAsia" w:hAnsiTheme="minorHAnsi" w:cstheme="minorBidi"/>
              <w:b w:val="0"/>
              <w:bCs w:val="0"/>
              <w:noProof/>
              <w:lang w:val="es-CL" w:eastAsia="es-CL"/>
            </w:rPr>
          </w:pPr>
          <w:hyperlink w:anchor="_Toc80113614" w:history="1">
            <w:r w:rsidR="005C3781" w:rsidRPr="007B0517">
              <w:rPr>
                <w:rStyle w:val="Hipervnculo"/>
                <w:rFonts w:eastAsia="Arial Unicode MS"/>
                <w:noProof/>
              </w:rPr>
              <w:t>3.4.</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Evaluación Técnica</w:t>
            </w:r>
            <w:r w:rsidR="005C3781">
              <w:rPr>
                <w:noProof/>
                <w:webHidden/>
              </w:rPr>
              <w:tab/>
            </w:r>
            <w:r w:rsidR="005C3781">
              <w:rPr>
                <w:noProof/>
                <w:webHidden/>
              </w:rPr>
              <w:fldChar w:fldCharType="begin"/>
            </w:r>
            <w:r w:rsidR="005C3781">
              <w:rPr>
                <w:noProof/>
                <w:webHidden/>
              </w:rPr>
              <w:instrText xml:space="preserve"> PAGEREF _Toc80113614 \h </w:instrText>
            </w:r>
            <w:r w:rsidR="005C3781">
              <w:rPr>
                <w:noProof/>
                <w:webHidden/>
              </w:rPr>
            </w:r>
            <w:r w:rsidR="005C3781">
              <w:rPr>
                <w:noProof/>
                <w:webHidden/>
              </w:rPr>
              <w:fldChar w:fldCharType="separate"/>
            </w:r>
            <w:r w:rsidR="00EF13D8">
              <w:rPr>
                <w:noProof/>
                <w:webHidden/>
              </w:rPr>
              <w:t>15</w:t>
            </w:r>
            <w:r w:rsidR="005C3781">
              <w:rPr>
                <w:noProof/>
                <w:webHidden/>
              </w:rPr>
              <w:fldChar w:fldCharType="end"/>
            </w:r>
          </w:hyperlink>
        </w:p>
        <w:p w14:paraId="28A60721" w14:textId="166CC7DC" w:rsidR="005C3781" w:rsidRDefault="00F23357">
          <w:pPr>
            <w:pStyle w:val="TDC2"/>
            <w:rPr>
              <w:rFonts w:asciiTheme="minorHAnsi" w:eastAsiaTheme="minorEastAsia" w:hAnsiTheme="minorHAnsi" w:cstheme="minorBidi"/>
              <w:b w:val="0"/>
              <w:bCs w:val="0"/>
              <w:noProof/>
              <w:lang w:val="es-CL" w:eastAsia="es-CL"/>
            </w:rPr>
          </w:pPr>
          <w:hyperlink w:anchor="_Toc80113615" w:history="1">
            <w:r w:rsidR="005C3781" w:rsidRPr="007B0517">
              <w:rPr>
                <w:rStyle w:val="Hipervnculo"/>
                <w:rFonts w:eastAsia="Arial Unicode MS"/>
                <w:noProof/>
              </w:rPr>
              <w:t>4.</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FASE DE DESARROLLO</w:t>
            </w:r>
            <w:r w:rsidR="005C3781">
              <w:rPr>
                <w:noProof/>
                <w:webHidden/>
              </w:rPr>
              <w:tab/>
            </w:r>
            <w:r w:rsidR="005C3781">
              <w:rPr>
                <w:noProof/>
                <w:webHidden/>
              </w:rPr>
              <w:fldChar w:fldCharType="begin"/>
            </w:r>
            <w:r w:rsidR="005C3781">
              <w:rPr>
                <w:noProof/>
                <w:webHidden/>
              </w:rPr>
              <w:instrText xml:space="preserve"> PAGEREF _Toc80113615 \h </w:instrText>
            </w:r>
            <w:r w:rsidR="005C3781">
              <w:rPr>
                <w:noProof/>
                <w:webHidden/>
              </w:rPr>
            </w:r>
            <w:r w:rsidR="005C3781">
              <w:rPr>
                <w:noProof/>
                <w:webHidden/>
              </w:rPr>
              <w:fldChar w:fldCharType="separate"/>
            </w:r>
            <w:r w:rsidR="00EF13D8">
              <w:rPr>
                <w:noProof/>
                <w:webHidden/>
              </w:rPr>
              <w:t>17</w:t>
            </w:r>
            <w:r w:rsidR="005C3781">
              <w:rPr>
                <w:noProof/>
                <w:webHidden/>
              </w:rPr>
              <w:fldChar w:fldCharType="end"/>
            </w:r>
          </w:hyperlink>
        </w:p>
        <w:p w14:paraId="046C3DE1" w14:textId="25FDF201" w:rsidR="005C3781" w:rsidRDefault="00F23357">
          <w:pPr>
            <w:pStyle w:val="TDC2"/>
            <w:rPr>
              <w:rFonts w:asciiTheme="minorHAnsi" w:eastAsiaTheme="minorEastAsia" w:hAnsiTheme="minorHAnsi" w:cstheme="minorBidi"/>
              <w:b w:val="0"/>
              <w:bCs w:val="0"/>
              <w:noProof/>
              <w:lang w:val="es-CL" w:eastAsia="es-CL"/>
            </w:rPr>
          </w:pPr>
          <w:hyperlink w:anchor="_Toc80113616" w:history="1">
            <w:r w:rsidR="005C3781" w:rsidRPr="007B0517">
              <w:rPr>
                <w:rStyle w:val="Hipervnculo"/>
                <w:rFonts w:eastAsia="Arial Unicode MS"/>
                <w:noProof/>
              </w:rPr>
              <w:t>4.1</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Formalización</w:t>
            </w:r>
            <w:r w:rsidR="005C3781">
              <w:rPr>
                <w:noProof/>
                <w:webHidden/>
              </w:rPr>
              <w:tab/>
            </w:r>
            <w:r w:rsidR="005C3781">
              <w:rPr>
                <w:noProof/>
                <w:webHidden/>
              </w:rPr>
              <w:fldChar w:fldCharType="begin"/>
            </w:r>
            <w:r w:rsidR="005C3781">
              <w:rPr>
                <w:noProof/>
                <w:webHidden/>
              </w:rPr>
              <w:instrText xml:space="preserve"> PAGEREF _Toc80113616 \h </w:instrText>
            </w:r>
            <w:r w:rsidR="005C3781">
              <w:rPr>
                <w:noProof/>
                <w:webHidden/>
              </w:rPr>
            </w:r>
            <w:r w:rsidR="005C3781">
              <w:rPr>
                <w:noProof/>
                <w:webHidden/>
              </w:rPr>
              <w:fldChar w:fldCharType="separate"/>
            </w:r>
            <w:r w:rsidR="00EF13D8">
              <w:rPr>
                <w:noProof/>
                <w:webHidden/>
              </w:rPr>
              <w:t>18</w:t>
            </w:r>
            <w:r w:rsidR="005C3781">
              <w:rPr>
                <w:noProof/>
                <w:webHidden/>
              </w:rPr>
              <w:fldChar w:fldCharType="end"/>
            </w:r>
          </w:hyperlink>
        </w:p>
        <w:p w14:paraId="478E9FC1" w14:textId="376B0623" w:rsidR="005C3781" w:rsidRDefault="00F23357">
          <w:pPr>
            <w:pStyle w:val="TDC2"/>
            <w:rPr>
              <w:rFonts w:asciiTheme="minorHAnsi" w:eastAsiaTheme="minorEastAsia" w:hAnsiTheme="minorHAnsi" w:cstheme="minorBidi"/>
              <w:b w:val="0"/>
              <w:bCs w:val="0"/>
              <w:noProof/>
              <w:lang w:val="es-CL" w:eastAsia="es-CL"/>
            </w:rPr>
          </w:pPr>
          <w:hyperlink w:anchor="_Toc80113617" w:history="1">
            <w:r w:rsidR="005C3781" w:rsidRPr="007B0517">
              <w:rPr>
                <w:rStyle w:val="Hipervnculo"/>
                <w:rFonts w:eastAsia="Arial Unicode MS"/>
                <w:noProof/>
              </w:rPr>
              <w:t>4.2</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Revisión y Ajustes al Presupuesto.</w:t>
            </w:r>
            <w:r w:rsidR="005C3781">
              <w:rPr>
                <w:noProof/>
                <w:webHidden/>
              </w:rPr>
              <w:tab/>
            </w:r>
            <w:r w:rsidR="005C3781">
              <w:rPr>
                <w:noProof/>
                <w:webHidden/>
              </w:rPr>
              <w:fldChar w:fldCharType="begin"/>
            </w:r>
            <w:r w:rsidR="005C3781">
              <w:rPr>
                <w:noProof/>
                <w:webHidden/>
              </w:rPr>
              <w:instrText xml:space="preserve"> PAGEREF _Toc80113617 \h </w:instrText>
            </w:r>
            <w:r w:rsidR="005C3781">
              <w:rPr>
                <w:noProof/>
                <w:webHidden/>
              </w:rPr>
            </w:r>
            <w:r w:rsidR="005C3781">
              <w:rPr>
                <w:noProof/>
                <w:webHidden/>
              </w:rPr>
              <w:fldChar w:fldCharType="separate"/>
            </w:r>
            <w:r w:rsidR="00EF13D8">
              <w:rPr>
                <w:noProof/>
                <w:webHidden/>
              </w:rPr>
              <w:t>18</w:t>
            </w:r>
            <w:r w:rsidR="005C3781">
              <w:rPr>
                <w:noProof/>
                <w:webHidden/>
              </w:rPr>
              <w:fldChar w:fldCharType="end"/>
            </w:r>
          </w:hyperlink>
        </w:p>
        <w:p w14:paraId="45937FBC" w14:textId="1FEB9092" w:rsidR="005C3781" w:rsidRDefault="00F23357">
          <w:pPr>
            <w:pStyle w:val="TDC2"/>
            <w:rPr>
              <w:rFonts w:asciiTheme="minorHAnsi" w:eastAsiaTheme="minorEastAsia" w:hAnsiTheme="minorHAnsi" w:cstheme="minorBidi"/>
              <w:b w:val="0"/>
              <w:bCs w:val="0"/>
              <w:noProof/>
              <w:lang w:val="es-CL" w:eastAsia="es-CL"/>
            </w:rPr>
          </w:pPr>
          <w:hyperlink w:anchor="_Toc80113618" w:history="1">
            <w:r w:rsidR="005C3781" w:rsidRPr="007B0517">
              <w:rPr>
                <w:rStyle w:val="Hipervnculo"/>
                <w:rFonts w:eastAsia="Arial Unicode MS"/>
                <w:noProof/>
              </w:rPr>
              <w:t>4.3</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Implementación del Plan de Trabajo</w:t>
            </w:r>
            <w:r w:rsidR="005C3781">
              <w:rPr>
                <w:noProof/>
                <w:webHidden/>
              </w:rPr>
              <w:tab/>
            </w:r>
            <w:r w:rsidR="005C3781">
              <w:rPr>
                <w:noProof/>
                <w:webHidden/>
              </w:rPr>
              <w:fldChar w:fldCharType="begin"/>
            </w:r>
            <w:r w:rsidR="005C3781">
              <w:rPr>
                <w:noProof/>
                <w:webHidden/>
              </w:rPr>
              <w:instrText xml:space="preserve"> PAGEREF _Toc80113618 \h </w:instrText>
            </w:r>
            <w:r w:rsidR="005C3781">
              <w:rPr>
                <w:noProof/>
                <w:webHidden/>
              </w:rPr>
            </w:r>
            <w:r w:rsidR="005C3781">
              <w:rPr>
                <w:noProof/>
                <w:webHidden/>
              </w:rPr>
              <w:fldChar w:fldCharType="separate"/>
            </w:r>
            <w:r w:rsidR="00EF13D8">
              <w:rPr>
                <w:noProof/>
                <w:webHidden/>
              </w:rPr>
              <w:t>19</w:t>
            </w:r>
            <w:r w:rsidR="005C3781">
              <w:rPr>
                <w:noProof/>
                <w:webHidden/>
              </w:rPr>
              <w:fldChar w:fldCharType="end"/>
            </w:r>
          </w:hyperlink>
        </w:p>
        <w:p w14:paraId="46983A38" w14:textId="0613FDC7" w:rsidR="005C3781" w:rsidRDefault="00F23357">
          <w:pPr>
            <w:pStyle w:val="TDC2"/>
            <w:rPr>
              <w:rFonts w:asciiTheme="minorHAnsi" w:eastAsiaTheme="minorEastAsia" w:hAnsiTheme="minorHAnsi" w:cstheme="minorBidi"/>
              <w:b w:val="0"/>
              <w:bCs w:val="0"/>
              <w:noProof/>
              <w:lang w:val="es-CL" w:eastAsia="es-CL"/>
            </w:rPr>
          </w:pPr>
          <w:hyperlink w:anchor="_Toc80113619" w:history="1">
            <w:r w:rsidR="005C3781" w:rsidRPr="007B0517">
              <w:rPr>
                <w:rStyle w:val="Hipervnculo"/>
                <w:rFonts w:eastAsia="Arial Unicode MS" w:cs="Arial"/>
                <w:noProof/>
              </w:rPr>
              <w:t>5.</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TÉRMINO DEL PROYECTO</w:t>
            </w:r>
            <w:r w:rsidR="005C3781">
              <w:rPr>
                <w:noProof/>
                <w:webHidden/>
              </w:rPr>
              <w:tab/>
            </w:r>
            <w:r w:rsidR="005C3781">
              <w:rPr>
                <w:noProof/>
                <w:webHidden/>
              </w:rPr>
              <w:fldChar w:fldCharType="begin"/>
            </w:r>
            <w:r w:rsidR="005C3781">
              <w:rPr>
                <w:noProof/>
                <w:webHidden/>
              </w:rPr>
              <w:instrText xml:space="preserve"> PAGEREF _Toc80113619 \h </w:instrText>
            </w:r>
            <w:r w:rsidR="005C3781">
              <w:rPr>
                <w:noProof/>
                <w:webHidden/>
              </w:rPr>
            </w:r>
            <w:r w:rsidR="005C3781">
              <w:rPr>
                <w:noProof/>
                <w:webHidden/>
              </w:rPr>
              <w:fldChar w:fldCharType="separate"/>
            </w:r>
            <w:r w:rsidR="00EF13D8">
              <w:rPr>
                <w:noProof/>
                <w:webHidden/>
              </w:rPr>
              <w:t>21</w:t>
            </w:r>
            <w:r w:rsidR="005C3781">
              <w:rPr>
                <w:noProof/>
                <w:webHidden/>
              </w:rPr>
              <w:fldChar w:fldCharType="end"/>
            </w:r>
          </w:hyperlink>
        </w:p>
        <w:p w14:paraId="58FE57E6" w14:textId="1539BD34" w:rsidR="005C3781" w:rsidRDefault="00F23357">
          <w:pPr>
            <w:pStyle w:val="TDC2"/>
            <w:rPr>
              <w:rFonts w:asciiTheme="minorHAnsi" w:eastAsiaTheme="minorEastAsia" w:hAnsiTheme="minorHAnsi" w:cstheme="minorBidi"/>
              <w:b w:val="0"/>
              <w:bCs w:val="0"/>
              <w:noProof/>
              <w:lang w:val="es-CL" w:eastAsia="es-CL"/>
            </w:rPr>
          </w:pPr>
          <w:hyperlink w:anchor="_Toc80113620" w:history="1">
            <w:r w:rsidR="005C3781" w:rsidRPr="007B0517">
              <w:rPr>
                <w:rStyle w:val="Hipervnculo"/>
                <w:rFonts w:eastAsia="Arial Unicode MS" w:cs="Arial"/>
                <w:noProof/>
              </w:rPr>
              <w:t>6.</w:t>
            </w:r>
            <w:r w:rsidR="005C3781">
              <w:rPr>
                <w:rFonts w:asciiTheme="minorHAnsi" w:eastAsiaTheme="minorEastAsia" w:hAnsiTheme="minorHAnsi" w:cstheme="minorBidi"/>
                <w:b w:val="0"/>
                <w:bCs w:val="0"/>
                <w:noProof/>
                <w:lang w:val="es-CL" w:eastAsia="es-CL"/>
              </w:rPr>
              <w:tab/>
            </w:r>
            <w:r w:rsidR="005C3781" w:rsidRPr="007B0517">
              <w:rPr>
                <w:rStyle w:val="Hipervnculo"/>
                <w:rFonts w:eastAsia="Arial Unicode MS"/>
                <w:noProof/>
              </w:rPr>
              <w:t>OTROS</w:t>
            </w:r>
            <w:r w:rsidR="005C3781">
              <w:rPr>
                <w:noProof/>
                <w:webHidden/>
              </w:rPr>
              <w:tab/>
            </w:r>
            <w:r w:rsidR="005C3781">
              <w:rPr>
                <w:noProof/>
                <w:webHidden/>
              </w:rPr>
              <w:fldChar w:fldCharType="begin"/>
            </w:r>
            <w:r w:rsidR="005C3781">
              <w:rPr>
                <w:noProof/>
                <w:webHidden/>
              </w:rPr>
              <w:instrText xml:space="preserve"> PAGEREF _Toc80113620 \h </w:instrText>
            </w:r>
            <w:r w:rsidR="005C3781">
              <w:rPr>
                <w:noProof/>
                <w:webHidden/>
              </w:rPr>
            </w:r>
            <w:r w:rsidR="005C3781">
              <w:rPr>
                <w:noProof/>
                <w:webHidden/>
              </w:rPr>
              <w:fldChar w:fldCharType="separate"/>
            </w:r>
            <w:r w:rsidR="00EF13D8">
              <w:rPr>
                <w:noProof/>
                <w:webHidden/>
              </w:rPr>
              <w:t>23</w:t>
            </w:r>
            <w:r w:rsidR="005C3781">
              <w:rPr>
                <w:noProof/>
                <w:webHidden/>
              </w:rPr>
              <w:fldChar w:fldCharType="end"/>
            </w:r>
          </w:hyperlink>
        </w:p>
        <w:p w14:paraId="307EFF6D" w14:textId="4DF62697" w:rsidR="005C3781" w:rsidRDefault="00F23357">
          <w:pPr>
            <w:pStyle w:val="TDC2"/>
            <w:rPr>
              <w:rFonts w:asciiTheme="minorHAnsi" w:eastAsiaTheme="minorEastAsia" w:hAnsiTheme="minorHAnsi" w:cstheme="minorBidi"/>
              <w:b w:val="0"/>
              <w:bCs w:val="0"/>
              <w:noProof/>
              <w:lang w:val="es-CL" w:eastAsia="es-CL"/>
            </w:rPr>
          </w:pPr>
          <w:hyperlink w:anchor="_Toc80113621" w:history="1">
            <w:r w:rsidR="005C3781" w:rsidRPr="007B0517">
              <w:rPr>
                <w:rStyle w:val="Hipervnculo"/>
                <w:noProof/>
              </w:rPr>
              <w:t>ANEXO N° 1. REQUISITOS DE LA CONVOCATORIA</w:t>
            </w:r>
            <w:r w:rsidR="005C3781">
              <w:rPr>
                <w:noProof/>
                <w:webHidden/>
              </w:rPr>
              <w:tab/>
            </w:r>
            <w:r w:rsidR="005C3781">
              <w:rPr>
                <w:noProof/>
                <w:webHidden/>
              </w:rPr>
              <w:fldChar w:fldCharType="begin"/>
            </w:r>
            <w:r w:rsidR="005C3781">
              <w:rPr>
                <w:noProof/>
                <w:webHidden/>
              </w:rPr>
              <w:instrText xml:space="preserve"> PAGEREF _Toc80113621 \h </w:instrText>
            </w:r>
            <w:r w:rsidR="005C3781">
              <w:rPr>
                <w:noProof/>
                <w:webHidden/>
              </w:rPr>
            </w:r>
            <w:r w:rsidR="005C3781">
              <w:rPr>
                <w:noProof/>
                <w:webHidden/>
              </w:rPr>
              <w:fldChar w:fldCharType="separate"/>
            </w:r>
            <w:r w:rsidR="00EF13D8">
              <w:rPr>
                <w:noProof/>
                <w:webHidden/>
              </w:rPr>
              <w:t>26</w:t>
            </w:r>
            <w:r w:rsidR="005C3781">
              <w:rPr>
                <w:noProof/>
                <w:webHidden/>
              </w:rPr>
              <w:fldChar w:fldCharType="end"/>
            </w:r>
          </w:hyperlink>
        </w:p>
        <w:p w14:paraId="1319CF84" w14:textId="06E895C9" w:rsidR="005C3781" w:rsidRDefault="00F23357">
          <w:pPr>
            <w:pStyle w:val="TDC2"/>
            <w:rPr>
              <w:rFonts w:asciiTheme="minorHAnsi" w:eastAsiaTheme="minorEastAsia" w:hAnsiTheme="minorHAnsi" w:cstheme="minorBidi"/>
              <w:b w:val="0"/>
              <w:bCs w:val="0"/>
              <w:noProof/>
              <w:lang w:val="es-CL" w:eastAsia="es-CL"/>
            </w:rPr>
          </w:pPr>
          <w:hyperlink w:anchor="_Toc80113622" w:history="1">
            <w:r w:rsidR="005C3781" w:rsidRPr="007B0517">
              <w:rPr>
                <w:rStyle w:val="Hipervnculo"/>
                <w:noProof/>
              </w:rPr>
              <w:t>ANEXO N° 2. ÍTEMS FINANCIABLES</w:t>
            </w:r>
            <w:r w:rsidR="005C3781">
              <w:rPr>
                <w:noProof/>
                <w:webHidden/>
              </w:rPr>
              <w:tab/>
            </w:r>
            <w:r w:rsidR="005C3781">
              <w:rPr>
                <w:noProof/>
                <w:webHidden/>
              </w:rPr>
              <w:fldChar w:fldCharType="begin"/>
            </w:r>
            <w:r w:rsidR="005C3781">
              <w:rPr>
                <w:noProof/>
                <w:webHidden/>
              </w:rPr>
              <w:instrText xml:space="preserve"> PAGEREF _Toc80113622 \h </w:instrText>
            </w:r>
            <w:r w:rsidR="005C3781">
              <w:rPr>
                <w:noProof/>
                <w:webHidden/>
              </w:rPr>
            </w:r>
            <w:r w:rsidR="005C3781">
              <w:rPr>
                <w:noProof/>
                <w:webHidden/>
              </w:rPr>
              <w:fldChar w:fldCharType="separate"/>
            </w:r>
            <w:r w:rsidR="00EF13D8">
              <w:rPr>
                <w:noProof/>
                <w:webHidden/>
              </w:rPr>
              <w:t>30</w:t>
            </w:r>
            <w:r w:rsidR="005C3781">
              <w:rPr>
                <w:noProof/>
                <w:webHidden/>
              </w:rPr>
              <w:fldChar w:fldCharType="end"/>
            </w:r>
          </w:hyperlink>
        </w:p>
        <w:p w14:paraId="603AC967" w14:textId="23DC90C6" w:rsidR="005C3781" w:rsidRDefault="00F23357">
          <w:pPr>
            <w:pStyle w:val="TDC2"/>
            <w:rPr>
              <w:rFonts w:asciiTheme="minorHAnsi" w:eastAsiaTheme="minorEastAsia" w:hAnsiTheme="minorHAnsi" w:cstheme="minorBidi"/>
              <w:b w:val="0"/>
              <w:bCs w:val="0"/>
              <w:noProof/>
              <w:lang w:val="es-CL" w:eastAsia="es-CL"/>
            </w:rPr>
          </w:pPr>
          <w:hyperlink w:anchor="_Toc80113623" w:history="1">
            <w:r w:rsidR="005C3781" w:rsidRPr="007B0517">
              <w:rPr>
                <w:rStyle w:val="Hipervnculo"/>
                <w:noProof/>
              </w:rPr>
              <w:t>ANEXO N° 3. DECLARACIÓN JURADA SIMPLE PROBIDAD</w:t>
            </w:r>
            <w:r w:rsidR="005C3781">
              <w:rPr>
                <w:noProof/>
                <w:webHidden/>
              </w:rPr>
              <w:tab/>
            </w:r>
            <w:r w:rsidR="005C3781">
              <w:rPr>
                <w:noProof/>
                <w:webHidden/>
              </w:rPr>
              <w:fldChar w:fldCharType="begin"/>
            </w:r>
            <w:r w:rsidR="005C3781">
              <w:rPr>
                <w:noProof/>
                <w:webHidden/>
              </w:rPr>
              <w:instrText xml:space="preserve"> PAGEREF _Toc80113623 \h </w:instrText>
            </w:r>
            <w:r w:rsidR="005C3781">
              <w:rPr>
                <w:noProof/>
                <w:webHidden/>
              </w:rPr>
            </w:r>
            <w:r w:rsidR="005C3781">
              <w:rPr>
                <w:noProof/>
                <w:webHidden/>
              </w:rPr>
              <w:fldChar w:fldCharType="separate"/>
            </w:r>
            <w:r w:rsidR="00EF13D8">
              <w:rPr>
                <w:noProof/>
                <w:webHidden/>
              </w:rPr>
              <w:t>35</w:t>
            </w:r>
            <w:r w:rsidR="005C3781">
              <w:rPr>
                <w:noProof/>
                <w:webHidden/>
              </w:rPr>
              <w:fldChar w:fldCharType="end"/>
            </w:r>
          </w:hyperlink>
        </w:p>
        <w:p w14:paraId="4A4D5513" w14:textId="35EF0E39" w:rsidR="005C3781" w:rsidRDefault="00F23357">
          <w:pPr>
            <w:pStyle w:val="TDC2"/>
            <w:rPr>
              <w:rFonts w:asciiTheme="minorHAnsi" w:eastAsiaTheme="minorEastAsia" w:hAnsiTheme="minorHAnsi" w:cstheme="minorBidi"/>
              <w:b w:val="0"/>
              <w:bCs w:val="0"/>
              <w:noProof/>
              <w:lang w:val="es-CL" w:eastAsia="es-CL"/>
            </w:rPr>
          </w:pPr>
          <w:hyperlink w:anchor="_Toc80113624" w:history="1">
            <w:r w:rsidR="005C3781" w:rsidRPr="007B0517">
              <w:rPr>
                <w:rStyle w:val="Hipervnculo"/>
                <w:noProof/>
              </w:rPr>
              <w:t>ANEXO N° 4. DECLARACIÓN JURADA SIMPLE DE NO CONSANGUINEIDAD</w:t>
            </w:r>
            <w:r w:rsidR="005C3781">
              <w:rPr>
                <w:noProof/>
                <w:webHidden/>
              </w:rPr>
              <w:tab/>
            </w:r>
            <w:r w:rsidR="005C3781">
              <w:rPr>
                <w:noProof/>
                <w:webHidden/>
              </w:rPr>
              <w:fldChar w:fldCharType="begin"/>
            </w:r>
            <w:r w:rsidR="005C3781">
              <w:rPr>
                <w:noProof/>
                <w:webHidden/>
              </w:rPr>
              <w:instrText xml:space="preserve"> PAGEREF _Toc80113624 \h </w:instrText>
            </w:r>
            <w:r w:rsidR="005C3781">
              <w:rPr>
                <w:noProof/>
                <w:webHidden/>
              </w:rPr>
            </w:r>
            <w:r w:rsidR="005C3781">
              <w:rPr>
                <w:noProof/>
                <w:webHidden/>
              </w:rPr>
              <w:fldChar w:fldCharType="separate"/>
            </w:r>
            <w:r w:rsidR="00EF13D8">
              <w:rPr>
                <w:noProof/>
                <w:webHidden/>
              </w:rPr>
              <w:t>36</w:t>
            </w:r>
            <w:r w:rsidR="005C3781">
              <w:rPr>
                <w:noProof/>
                <w:webHidden/>
              </w:rPr>
              <w:fldChar w:fldCharType="end"/>
            </w:r>
          </w:hyperlink>
        </w:p>
        <w:p w14:paraId="13C59FE2" w14:textId="68370DFA" w:rsidR="005C3781" w:rsidRDefault="00F23357">
          <w:pPr>
            <w:pStyle w:val="TDC2"/>
            <w:rPr>
              <w:rFonts w:asciiTheme="minorHAnsi" w:eastAsiaTheme="minorEastAsia" w:hAnsiTheme="minorHAnsi" w:cstheme="minorBidi"/>
              <w:b w:val="0"/>
              <w:bCs w:val="0"/>
              <w:noProof/>
              <w:lang w:val="es-CL" w:eastAsia="es-CL"/>
            </w:rPr>
          </w:pPr>
          <w:hyperlink w:anchor="_Toc80113625" w:history="1">
            <w:r w:rsidR="005C3781" w:rsidRPr="007B0517">
              <w:rPr>
                <w:rStyle w:val="Hipervnculo"/>
                <w:noProof/>
              </w:rPr>
              <w:t xml:space="preserve">ANEXO N° 5. </w:t>
            </w:r>
            <w:r w:rsidR="005C3781" w:rsidRPr="007B0517">
              <w:rPr>
                <w:rStyle w:val="Hipervnculo"/>
                <w:rFonts w:eastAsia="Arial Unicode MS" w:cs="Arial"/>
                <w:noProof/>
                <w:lang w:eastAsia="en-US"/>
              </w:rPr>
              <w:t>CRITERIOS DE EVALUACIÓN TÉCNICA</w:t>
            </w:r>
            <w:r w:rsidR="005C3781">
              <w:rPr>
                <w:noProof/>
                <w:webHidden/>
              </w:rPr>
              <w:tab/>
            </w:r>
            <w:r w:rsidR="005C3781">
              <w:rPr>
                <w:noProof/>
                <w:webHidden/>
              </w:rPr>
              <w:fldChar w:fldCharType="begin"/>
            </w:r>
            <w:r w:rsidR="005C3781">
              <w:rPr>
                <w:noProof/>
                <w:webHidden/>
              </w:rPr>
              <w:instrText xml:space="preserve"> PAGEREF _Toc80113625 \h </w:instrText>
            </w:r>
            <w:r w:rsidR="005C3781">
              <w:rPr>
                <w:noProof/>
                <w:webHidden/>
              </w:rPr>
            </w:r>
            <w:r w:rsidR="005C3781">
              <w:rPr>
                <w:noProof/>
                <w:webHidden/>
              </w:rPr>
              <w:fldChar w:fldCharType="separate"/>
            </w:r>
            <w:r w:rsidR="00EF13D8">
              <w:rPr>
                <w:noProof/>
                <w:webHidden/>
              </w:rPr>
              <w:t>38</w:t>
            </w:r>
            <w:r w:rsidR="005C3781">
              <w:rPr>
                <w:noProof/>
                <w:webHidden/>
              </w:rPr>
              <w:fldChar w:fldCharType="end"/>
            </w:r>
          </w:hyperlink>
        </w:p>
        <w:p w14:paraId="1F935CBF" w14:textId="207E1A4A" w:rsidR="005C3781" w:rsidRDefault="00F23357">
          <w:pPr>
            <w:pStyle w:val="TDC2"/>
            <w:rPr>
              <w:rFonts w:asciiTheme="minorHAnsi" w:eastAsiaTheme="minorEastAsia" w:hAnsiTheme="minorHAnsi" w:cstheme="minorBidi"/>
              <w:b w:val="0"/>
              <w:bCs w:val="0"/>
              <w:noProof/>
              <w:lang w:val="es-CL" w:eastAsia="es-CL"/>
            </w:rPr>
          </w:pPr>
          <w:hyperlink w:anchor="_Toc80113626" w:history="1">
            <w:r w:rsidR="005C3781" w:rsidRPr="007B0517">
              <w:rPr>
                <w:rStyle w:val="Hipervnculo"/>
                <w:noProof/>
              </w:rPr>
              <w:t xml:space="preserve">ANEXO N° 6. CRITERIOS DE EVALUACIÓN DEL COMITÉ DE EVALUACIÓN REGIONAL </w:t>
            </w:r>
            <w:r w:rsidR="005C3781" w:rsidRPr="007B0517">
              <w:rPr>
                <w:rStyle w:val="Hipervnculo"/>
                <w:noProof/>
                <w:snapToGrid w:val="0"/>
              </w:rPr>
              <w:t>.</w:t>
            </w:r>
            <w:r w:rsidR="005C3781">
              <w:rPr>
                <w:noProof/>
                <w:webHidden/>
              </w:rPr>
              <w:tab/>
            </w:r>
            <w:r w:rsidR="005C3781">
              <w:rPr>
                <w:noProof/>
                <w:webHidden/>
              </w:rPr>
              <w:fldChar w:fldCharType="begin"/>
            </w:r>
            <w:r w:rsidR="005C3781">
              <w:rPr>
                <w:noProof/>
                <w:webHidden/>
              </w:rPr>
              <w:instrText xml:space="preserve"> PAGEREF _Toc80113626 \h </w:instrText>
            </w:r>
            <w:r w:rsidR="005C3781">
              <w:rPr>
                <w:noProof/>
                <w:webHidden/>
              </w:rPr>
            </w:r>
            <w:r w:rsidR="005C3781">
              <w:rPr>
                <w:noProof/>
                <w:webHidden/>
              </w:rPr>
              <w:fldChar w:fldCharType="separate"/>
            </w:r>
            <w:r w:rsidR="00EF13D8">
              <w:rPr>
                <w:noProof/>
                <w:webHidden/>
              </w:rPr>
              <w:t>42</w:t>
            </w:r>
            <w:r w:rsidR="005C3781">
              <w:rPr>
                <w:noProof/>
                <w:webHidden/>
              </w:rPr>
              <w:fldChar w:fldCharType="end"/>
            </w:r>
          </w:hyperlink>
        </w:p>
        <w:p w14:paraId="39AFF723" w14:textId="4821DEE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80113598"/>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80113599"/>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proofErr w:type="spellStart"/>
      <w:r w:rsidRPr="00FF62F9">
        <w:rPr>
          <w:rFonts w:cs="Arial"/>
          <w:color w:val="000000"/>
          <w:szCs w:val="22"/>
        </w:rPr>
        <w:t>Sercotec</w:t>
      </w:r>
      <w:proofErr w:type="spellEnd"/>
      <w:r w:rsidRPr="00FF62F9">
        <w:rPr>
          <w:rFonts w:cs="Arial"/>
          <w:color w:val="000000"/>
          <w:szCs w:val="22"/>
        </w:rPr>
        <w:t xml:space="preserve">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w:t>
      </w:r>
      <w:proofErr w:type="spellStart"/>
      <w:r>
        <w:t>Sercotec</w:t>
      </w:r>
      <w:proofErr w:type="spellEnd"/>
      <w:r>
        <w:t xml:space="preserve">.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80113600"/>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80113601"/>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 xml:space="preserve">Los trabajadores de los Centros de Negocios </w:t>
      </w:r>
      <w:proofErr w:type="spellStart"/>
      <w:r w:rsidRPr="00AB4F50">
        <w:rPr>
          <w:rFonts w:eastAsia="gobCL" w:cs="gobCL"/>
        </w:rPr>
        <w:t>Sercotec</w:t>
      </w:r>
      <w:proofErr w:type="spellEnd"/>
      <w:r w:rsidRPr="00AB4F50">
        <w:rPr>
          <w:rFonts w:eastAsia="gobCL" w:cs="gobCL"/>
        </w:rPr>
        <w:t>,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xml:space="preserve">, o del personal del Agente Operador </w:t>
      </w:r>
      <w:proofErr w:type="spellStart"/>
      <w:r w:rsidR="00467259" w:rsidRPr="00AB4F50">
        <w:rPr>
          <w:rFonts w:eastAsia="Arial Unicode MS" w:cs="Arial"/>
          <w:szCs w:val="22"/>
        </w:rPr>
        <w:t>Sercotec</w:t>
      </w:r>
      <w:proofErr w:type="spellEnd"/>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AB4F50">
        <w:rPr>
          <w:rFonts w:eastAsia="Arial Unicode MS" w:cs="Arial"/>
          <w:color w:val="000000"/>
          <w:szCs w:val="22"/>
        </w:rPr>
        <w:t>Sercotec</w:t>
      </w:r>
      <w:proofErr w:type="spellEnd"/>
      <w:r w:rsidRPr="00AB4F50">
        <w:rPr>
          <w:rFonts w:eastAsia="Arial Unicode MS" w:cs="Arial"/>
          <w:color w:val="000000"/>
          <w:szCs w:val="22"/>
        </w:rPr>
        <w:t>,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80113602"/>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80113603"/>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 xml:space="preserve">financiamiento </w:t>
      </w:r>
      <w:proofErr w:type="spellStart"/>
      <w:r w:rsidR="005474C9"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Agente Operador </w:t>
      </w:r>
      <w:proofErr w:type="spellStart"/>
      <w:r w:rsidRPr="00EE4575">
        <w:rPr>
          <w:rFonts w:eastAsia="gobCL" w:cs="gobCL"/>
          <w:color w:val="000000"/>
        </w:rPr>
        <w:t>Sercotec</w:t>
      </w:r>
      <w:proofErr w:type="spellEnd"/>
      <w:r w:rsidRPr="00EE4575">
        <w:rPr>
          <w:rFonts w:eastAsia="gobCL" w:cs="gobCL"/>
          <w:color w:val="000000"/>
        </w:rPr>
        <w:t xml:space="preserve">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 xml:space="preserve">Empresas que no hayan presentado disminución de ventas, </w:t>
      </w:r>
      <w:proofErr w:type="spellStart"/>
      <w:r w:rsidRPr="00AF5E2D">
        <w:rPr>
          <w:rFonts w:eastAsia="Arial Unicode MS" w:cs="Arial"/>
          <w:color w:val="000000"/>
          <w:szCs w:val="22"/>
          <w:lang w:val="es-ES_tradnl"/>
        </w:rPr>
        <w:t>compar</w:t>
      </w:r>
      <w:proofErr w:type="spellEnd"/>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 xml:space="preserve">No haber sido beneficiario de convocatorias Reactívate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proofErr w:type="spellStart"/>
      <w:r w:rsidRPr="008279CC">
        <w:rPr>
          <w:rFonts w:eastAsia="Arial Unicode MS" w:cs="Arial"/>
          <w:color w:val="000000"/>
          <w:szCs w:val="22"/>
          <w:lang w:val="es-CL"/>
        </w:rPr>
        <w:t>Sercotec</w:t>
      </w:r>
      <w:proofErr w:type="spellEnd"/>
      <w:r w:rsidRPr="008279CC">
        <w:rPr>
          <w:rFonts w:eastAsia="Arial Unicode MS" w:cs="Arial"/>
          <w:color w:val="000000"/>
          <w:szCs w:val="22"/>
          <w:lang w:val="es-CL"/>
        </w:rPr>
        <w:t xml:space="preserve">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80113604"/>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proofErr w:type="spellStart"/>
      <w:r w:rsidR="000A1DB4" w:rsidRPr="00B93A85">
        <w:rPr>
          <w:rFonts w:eastAsia="Arial Unicode MS" w:cs="Arial"/>
          <w:szCs w:val="22"/>
          <w:lang w:val="es-CL"/>
        </w:rPr>
        <w:t>Sercotec</w:t>
      </w:r>
      <w:proofErr w:type="spellEnd"/>
      <w:r w:rsidR="000A1DB4" w:rsidRPr="00B93A85">
        <w:rPr>
          <w:rFonts w:eastAsia="Arial Unicode MS" w:cs="Arial"/>
          <w:szCs w:val="22"/>
          <w:lang w:val="es-CL"/>
        </w:rPr>
        <w:t xml:space="preserve">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w:t>
      </w:r>
      <w:proofErr w:type="spellStart"/>
      <w:r w:rsidR="008D14A0">
        <w:rPr>
          <w:rFonts w:eastAsia="Arial Unicode MS" w:cs="Arial"/>
          <w:szCs w:val="22"/>
          <w:lang w:val="es-CL"/>
        </w:rPr>
        <w:t>Sercotec</w:t>
      </w:r>
      <w:proofErr w:type="spellEnd"/>
      <w:r w:rsidR="008D14A0">
        <w:rPr>
          <w:rFonts w:eastAsia="Arial Unicode MS" w:cs="Arial"/>
          <w:szCs w:val="22"/>
          <w:lang w:val="es-CL"/>
        </w:rPr>
        <w:t xml:space="preserve">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233F61F4" w14:textId="7B2A4DE2" w:rsidR="00041A98" w:rsidRPr="000F49EC"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tc>
      </w:tr>
      <w:tr w:rsidR="000F49EC" w:rsidRPr="00B93A85" w14:paraId="5C5AE114" w14:textId="77777777" w:rsidTr="002E7EE6">
        <w:trPr>
          <w:trHeight w:val="155"/>
        </w:trPr>
        <w:tc>
          <w:tcPr>
            <w:tcW w:w="1276" w:type="dxa"/>
            <w:tcMar>
              <w:top w:w="57" w:type="dxa"/>
              <w:bottom w:w="57" w:type="dxa"/>
            </w:tcMar>
          </w:tcPr>
          <w:p w14:paraId="66E84C0C" w14:textId="77777777" w:rsidR="000F49EC" w:rsidRPr="00B93A85" w:rsidRDefault="000F49EC" w:rsidP="00735A81">
            <w:pPr>
              <w:rPr>
                <w:rFonts w:eastAsiaTheme="minorHAnsi"/>
                <w:sz w:val="20"/>
                <w:szCs w:val="20"/>
                <w:lang w:eastAsia="es-CL"/>
              </w:rPr>
            </w:pPr>
          </w:p>
        </w:tc>
        <w:tc>
          <w:tcPr>
            <w:tcW w:w="1418" w:type="dxa"/>
            <w:tcMar>
              <w:top w:w="57" w:type="dxa"/>
              <w:left w:w="70" w:type="dxa"/>
              <w:bottom w:w="57" w:type="dxa"/>
              <w:right w:w="70" w:type="dxa"/>
            </w:tcMar>
          </w:tcPr>
          <w:p w14:paraId="78BA4DBC" w14:textId="22424783" w:rsidR="000F49EC" w:rsidRPr="000F49EC" w:rsidRDefault="000F49EC" w:rsidP="00735A81">
            <w:pPr>
              <w:rPr>
                <w:sz w:val="19"/>
                <w:szCs w:val="19"/>
              </w:rPr>
            </w:pPr>
            <w:r w:rsidRPr="000F49EC">
              <w:rPr>
                <w:rFonts w:cs="Calibri"/>
                <w:sz w:val="19"/>
                <w:szCs w:val="19"/>
                <w:lang w:eastAsia="es-CL"/>
              </w:rPr>
              <w:t>Servicios esenciales para el funcionamiento del negocio</w:t>
            </w:r>
          </w:p>
        </w:tc>
        <w:tc>
          <w:tcPr>
            <w:tcW w:w="6237" w:type="dxa"/>
            <w:tcMar>
              <w:top w:w="57" w:type="dxa"/>
              <w:left w:w="70" w:type="dxa"/>
              <w:bottom w:w="57" w:type="dxa"/>
              <w:right w:w="70" w:type="dxa"/>
            </w:tcMar>
          </w:tcPr>
          <w:p w14:paraId="1E451C49" w14:textId="1D44CD35" w:rsidR="000F49EC" w:rsidRPr="00B93A85" w:rsidRDefault="000F49EC" w:rsidP="009A4A2D">
            <w:pPr>
              <w:widowControl w:val="0"/>
              <w:jc w:val="both"/>
              <w:rPr>
                <w:rFonts w:cs="Arial"/>
                <w:b/>
                <w:bCs/>
                <w:snapToGrid w:val="0"/>
                <w:sz w:val="20"/>
                <w:szCs w:val="20"/>
                <w:lang w:val="es-CL"/>
              </w:rPr>
            </w:pPr>
            <w:r w:rsidRPr="005474C9">
              <w:rPr>
                <w:rFonts w:cs="Calibri"/>
                <w:b/>
                <w:sz w:val="20"/>
                <w:szCs w:val="20"/>
                <w:lang w:eastAsia="es-CL"/>
              </w:rPr>
              <w:t>Servicios esenciales para el funcionamiento del negocio</w:t>
            </w:r>
            <w:r>
              <w:rPr>
                <w:rFonts w:cs="Calibri"/>
                <w:b/>
                <w:sz w:val="20"/>
                <w:szCs w:val="20"/>
                <w:lang w:eastAsia="es-CL"/>
              </w:rPr>
              <w:t xml:space="preserve">: </w:t>
            </w:r>
            <w:r>
              <w:rPr>
                <w:rFonts w:cs="Calibri"/>
                <w:sz w:val="20"/>
                <w:szCs w:val="20"/>
                <w:lang w:eastAsia="es-CL"/>
              </w:rPr>
              <w:t>Comprende el gasto en aquellos servicios que son contratados por la empresa a un tercero, y resultan indispensables para el desarrollo del negocio.</w:t>
            </w:r>
            <w:r w:rsidRPr="005474C9">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80113605"/>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80113606"/>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80113607"/>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 xml:space="preserve">Las postulaciones deben ser individuales y, por lo tanto, </w:t>
            </w:r>
            <w:proofErr w:type="spellStart"/>
            <w:r w:rsidRPr="00855152">
              <w:rPr>
                <w:rFonts w:eastAsia="gobCL" w:cs="gobCL"/>
                <w:szCs w:val="22"/>
              </w:rPr>
              <w:t>Sercotec</w:t>
            </w:r>
            <w:proofErr w:type="spellEnd"/>
            <w:r w:rsidRPr="00855152">
              <w:rPr>
                <w:rFonts w:eastAsia="gobCL" w:cs="gobCL"/>
                <w:szCs w:val="22"/>
              </w:rPr>
              <w:t xml:space="preserve">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80113608"/>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64F4B348"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276F1E">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w:t>
      </w:r>
      <w:bookmarkStart w:id="37" w:name="_GoBack"/>
      <w:bookmarkEnd w:id="37"/>
      <w:r w:rsidRPr="00017271">
        <w:rPr>
          <w:rFonts w:eastAsia="Arial Unicode MS" w:cs="Arial"/>
          <w:b/>
          <w:szCs w:val="22"/>
          <w:u w:val="single"/>
          <w:lang w:val="es-CL"/>
        </w:rPr>
        <w:t>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80113609"/>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A24BEE2" w14:textId="38564636" w:rsidR="004762A8" w:rsidRPr="004762A8" w:rsidRDefault="004762A8" w:rsidP="004762A8">
      <w:pPr>
        <w:jc w:val="both"/>
        <w:rPr>
          <w:color w:val="000000"/>
          <w:szCs w:val="22"/>
          <w:bdr w:val="none" w:sz="0" w:space="0" w:color="auto" w:frame="1"/>
        </w:rPr>
      </w:pPr>
      <w:r w:rsidRPr="004762A8">
        <w:rPr>
          <w:color w:val="000000"/>
          <w:szCs w:val="22"/>
          <w:bdr w:val="none" w:sz="0" w:space="0" w:color="auto" w:frame="1"/>
        </w:rPr>
        <w:t xml:space="preserve">Para que las personas interesadas realicen consultas, </w:t>
      </w:r>
      <w:proofErr w:type="spellStart"/>
      <w:r w:rsidRPr="004762A8">
        <w:rPr>
          <w:color w:val="000000"/>
          <w:szCs w:val="22"/>
          <w:bdr w:val="none" w:sz="0" w:space="0" w:color="auto" w:frame="1"/>
        </w:rPr>
        <w:t>Sercotec</w:t>
      </w:r>
      <w:proofErr w:type="spellEnd"/>
      <w:r w:rsidRPr="004762A8">
        <w:rPr>
          <w:color w:val="000000"/>
          <w:szCs w:val="22"/>
          <w:bdr w:val="none" w:sz="0" w:space="0" w:color="auto" w:frame="1"/>
        </w:rPr>
        <w:t xml:space="preserve"> dispondrá de Agentes Operadores. Para esta convocatoria, el Agente asignado es Valdivia L.A, correo: </w:t>
      </w:r>
      <w:hyperlink r:id="rId21" w:history="1">
        <w:r w:rsidRPr="0081335D">
          <w:rPr>
            <w:rStyle w:val="Hipervnculo"/>
            <w:szCs w:val="22"/>
            <w:bdr w:val="none" w:sz="0" w:space="0" w:color="auto" w:frame="1"/>
          </w:rPr>
          <w:t>rodrigo.valdiviala@gmail.com</w:t>
        </w:r>
      </w:hyperlink>
      <w:r>
        <w:rPr>
          <w:color w:val="000000"/>
          <w:szCs w:val="22"/>
          <w:bdr w:val="none" w:sz="0" w:space="0" w:color="auto" w:frame="1"/>
        </w:rPr>
        <w:t>,</w:t>
      </w:r>
      <w:r w:rsidRPr="004762A8">
        <w:rPr>
          <w:color w:val="000000"/>
          <w:szCs w:val="22"/>
          <w:bdr w:val="none" w:sz="0" w:space="0" w:color="auto" w:frame="1"/>
        </w:rPr>
        <w:t xml:space="preserve"> dirección: Valdivia 750-A, Los Ángeles y teléfono 954113033). Además, pueden recurrir a los </w:t>
      </w:r>
      <w:r w:rsidRPr="004762A8">
        <w:rPr>
          <w:b/>
          <w:color w:val="000000"/>
          <w:szCs w:val="22"/>
          <w:bdr w:val="none" w:sz="0" w:space="0" w:color="auto" w:frame="1"/>
        </w:rPr>
        <w:t xml:space="preserve">Puntos </w:t>
      </w:r>
      <w:proofErr w:type="spellStart"/>
      <w:r w:rsidRPr="004762A8">
        <w:rPr>
          <w:b/>
          <w:color w:val="000000"/>
          <w:szCs w:val="22"/>
          <w:bdr w:val="none" w:sz="0" w:space="0" w:color="auto" w:frame="1"/>
        </w:rPr>
        <w:t>Mipe</w:t>
      </w:r>
      <w:proofErr w:type="spellEnd"/>
      <w:r w:rsidRPr="004762A8">
        <w:rPr>
          <w:color w:val="000000"/>
          <w:szCs w:val="22"/>
          <w:bdr w:val="none" w:sz="0" w:space="0" w:color="auto" w:frame="1"/>
        </w:rPr>
        <w:t xml:space="preserve"> ubicados en las oficinas regionales de </w:t>
      </w:r>
      <w:proofErr w:type="spellStart"/>
      <w:r w:rsidRPr="004762A8">
        <w:rPr>
          <w:color w:val="000000"/>
          <w:szCs w:val="22"/>
          <w:bdr w:val="none" w:sz="0" w:space="0" w:color="auto" w:frame="1"/>
        </w:rPr>
        <w:t>Sercotec</w:t>
      </w:r>
      <w:proofErr w:type="spellEnd"/>
      <w:r w:rsidRPr="004762A8">
        <w:rPr>
          <w:color w:val="000000"/>
          <w:szCs w:val="22"/>
          <w:bdr w:val="none" w:sz="0" w:space="0" w:color="auto" w:frame="1"/>
        </w:rPr>
        <w:t xml:space="preserve">, por teléfono, o bien, en forma virtual ingresando a </w:t>
      </w:r>
      <w:hyperlink r:id="rId22" w:history="1">
        <w:r w:rsidRPr="004762A8">
          <w:rPr>
            <w:rStyle w:val="Hipervnculo"/>
            <w:szCs w:val="22"/>
            <w:bdr w:val="none" w:sz="0" w:space="0" w:color="auto" w:frame="1"/>
          </w:rPr>
          <w:t>www.sercotec.cl</w:t>
        </w:r>
      </w:hyperlink>
      <w:r w:rsidRPr="004762A8">
        <w:rPr>
          <w:color w:val="000000"/>
          <w:szCs w:val="22"/>
          <w:bdr w:val="none" w:sz="0" w:space="0" w:color="auto" w:frame="1"/>
        </w:rPr>
        <w:t>.</w:t>
      </w:r>
    </w:p>
    <w:p w14:paraId="2EBBB3D4" w14:textId="77777777" w:rsidR="004762A8" w:rsidRPr="004762A8" w:rsidRDefault="004762A8" w:rsidP="004762A8">
      <w:pPr>
        <w:jc w:val="both"/>
        <w:rPr>
          <w:color w:val="000000"/>
          <w:szCs w:val="22"/>
          <w:bdr w:val="none" w:sz="0" w:space="0" w:color="auto" w:frame="1"/>
        </w:rPr>
      </w:pP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80113610"/>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80113611"/>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80113612"/>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151BE188" w14:textId="1880D46F" w:rsidR="007F647B" w:rsidRDefault="007F647B" w:rsidP="005F643E">
      <w:pPr>
        <w:pStyle w:val="Ttulo2"/>
        <w:numPr>
          <w:ilvl w:val="1"/>
          <w:numId w:val="13"/>
        </w:numPr>
        <w:spacing w:before="0" w:after="0"/>
        <w:ind w:left="567" w:hanging="567"/>
        <w:jc w:val="both"/>
        <w:rPr>
          <w:rFonts w:cs="Arial"/>
          <w:szCs w:val="22"/>
          <w:lang w:val="es-CL"/>
        </w:rPr>
      </w:pPr>
      <w:bookmarkStart w:id="44" w:name="_Toc80113613"/>
      <w:r>
        <w:rPr>
          <w:rFonts w:cs="Arial"/>
          <w:szCs w:val="22"/>
          <w:lang w:val="es-CL"/>
        </w:rPr>
        <w:lastRenderedPageBreak/>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80113614"/>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empresario/a y, las observaciones y recomendaciones del Agente Operador </w:t>
            </w:r>
            <w:proofErr w:type="spellStart"/>
            <w:r w:rsidRPr="000C4629">
              <w:rPr>
                <w:rFonts w:eastAsia="Arial Unicode MS" w:cs="Arial"/>
                <w:bCs/>
                <w:sz w:val="20"/>
                <w:szCs w:val="18"/>
              </w:rPr>
              <w:t>Sercotec</w:t>
            </w:r>
            <w:proofErr w:type="spellEnd"/>
            <w:r w:rsidRPr="000C4629">
              <w:rPr>
                <w:rFonts w:eastAsia="Arial Unicode MS" w:cs="Arial"/>
                <w:bCs/>
                <w:sz w:val="20"/>
                <w:szCs w:val="18"/>
              </w:rPr>
              <w:t>.</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269D9FAF" w:rsidR="00DA6ADE" w:rsidRPr="002E2813" w:rsidRDefault="00340B08" w:rsidP="005F643E">
            <w:pPr>
              <w:pStyle w:val="Prrafodelista"/>
              <w:numPr>
                <w:ilvl w:val="0"/>
                <w:numId w:val="18"/>
              </w:numPr>
              <w:ind w:left="306" w:hanging="284"/>
              <w:jc w:val="both"/>
              <w:rPr>
                <w:rFonts w:eastAsia="Arial Unicode MS" w:cstheme="minorHAnsi"/>
                <w:bCs/>
                <w:szCs w:val="22"/>
              </w:rPr>
            </w:pPr>
            <w:r w:rsidRPr="002E2813">
              <w:rPr>
                <w:rFonts w:eastAsia="Arial Unicode MS" w:cs="Arial"/>
                <w:bCs/>
                <w:sz w:val="20"/>
                <w:szCs w:val="18"/>
              </w:rPr>
              <w:t>Empresas que desarrollan actividades económicas con enfoque multisectorial   a excepción de aquellas primarias  extractivas.</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46A2118A" w:rsidR="00DA6ADE" w:rsidRPr="002E2813" w:rsidRDefault="002E2813" w:rsidP="002E2813">
            <w:pPr>
              <w:pStyle w:val="Prrafodelista"/>
              <w:numPr>
                <w:ilvl w:val="0"/>
                <w:numId w:val="18"/>
              </w:numPr>
              <w:ind w:left="306" w:hanging="284"/>
              <w:jc w:val="both"/>
              <w:rPr>
                <w:rFonts w:eastAsia="Arial Unicode MS" w:cstheme="minorHAnsi"/>
                <w:bCs/>
                <w:szCs w:val="22"/>
              </w:rPr>
            </w:pPr>
            <w:r w:rsidRPr="002E2813">
              <w:rPr>
                <w:rFonts w:eastAsia="Arial Unicode MS" w:cs="Arial"/>
                <w:bCs/>
                <w:sz w:val="20"/>
                <w:szCs w:val="18"/>
              </w:rPr>
              <w:t>Empresas con domicilio comercial según carpeta tributaria del SII en la región del Biobío en comunas con  50.000 o menos habitantes según Censo del año 2017</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w:t>
      </w:r>
      <w:proofErr w:type="spellStart"/>
      <w:r w:rsidR="005E2C05" w:rsidRPr="005E2C05">
        <w:rPr>
          <w:rFonts w:eastAsia="Arial Unicode MS" w:cs="Arial"/>
          <w:szCs w:val="22"/>
          <w:lang w:val="es-CL"/>
        </w:rPr>
        <w:t>Sercotec</w:t>
      </w:r>
      <w:proofErr w:type="spellEnd"/>
      <w:r w:rsidR="005E2C05" w:rsidRPr="005E2C05">
        <w:rPr>
          <w:rFonts w:eastAsia="Arial Unicode MS" w:cs="Arial"/>
          <w:szCs w:val="22"/>
          <w:lang w:val="es-CL"/>
        </w:rPr>
        <w:t xml:space="preserve">,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xml:space="preserve">, a través de un </w:t>
      </w:r>
      <w:proofErr w:type="spellStart"/>
      <w:r w:rsidR="00793069" w:rsidRPr="00B93A85">
        <w:rPr>
          <w:rFonts w:eastAsia="Arial Unicode MS" w:cs="Arial"/>
          <w:szCs w:val="22"/>
          <w:lang w:val="es-CL"/>
        </w:rPr>
        <w:t>video</w:t>
      </w:r>
      <w:r w:rsidR="00980B84">
        <w:rPr>
          <w:rFonts w:eastAsia="Arial Unicode MS" w:cs="Arial"/>
          <w:szCs w:val="22"/>
          <w:lang w:val="es-CL"/>
        </w:rPr>
        <w:t>llamada</w:t>
      </w:r>
      <w:proofErr w:type="spellEnd"/>
      <w:r w:rsidR="00980B84">
        <w:rPr>
          <w:rFonts w:eastAsia="Arial Unicode MS" w:cs="Arial"/>
          <w:szCs w:val="22"/>
          <w:lang w:val="es-CL"/>
        </w:rPr>
        <w:t xml:space="preserve">,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lastRenderedPageBreak/>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80113615"/>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 xml:space="preserve">Las empresas que resulten seleccionadas deberán formalizar su relación con </w:t>
      </w:r>
      <w:proofErr w:type="spellStart"/>
      <w:r w:rsidRPr="00373543">
        <w:rPr>
          <w:rFonts w:eastAsia="Arial Unicode MS" w:cs="Arial"/>
          <w:szCs w:val="22"/>
          <w:lang w:val="es-CL"/>
        </w:rPr>
        <w:t>Sercotec</w:t>
      </w:r>
      <w:proofErr w:type="spellEnd"/>
      <w:r w:rsidRPr="00373543">
        <w:rPr>
          <w:rFonts w:eastAsia="Arial Unicode MS" w:cs="Arial"/>
          <w:szCs w:val="22"/>
          <w:lang w:val="es-CL"/>
        </w:rPr>
        <w:t xml:space="preserve">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80113616"/>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proofErr w:type="spellStart"/>
      <w:r w:rsidR="009C2E7E">
        <w:rPr>
          <w:rFonts w:eastAsia="Arial Unicode MS" w:cs="Arial"/>
          <w:szCs w:val="22"/>
        </w:rPr>
        <w:t>Sercotec</w:t>
      </w:r>
      <w:proofErr w:type="spellEnd"/>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 xml:space="preserve">Frente a cualquier información o situación entregada que falte a la verdad, se dejará sin efecto la adjudicación realizada, ante lo cual </w:t>
      </w:r>
      <w:proofErr w:type="spellStart"/>
      <w:r w:rsidRPr="00B93A85">
        <w:rPr>
          <w:rFonts w:eastAsia="Arial Unicode MS" w:cs="Arial"/>
          <w:szCs w:val="22"/>
        </w:rPr>
        <w:t>Sercotec</w:t>
      </w:r>
      <w:proofErr w:type="spellEnd"/>
      <w:r w:rsidRPr="00B93A85">
        <w:rPr>
          <w:rFonts w:eastAsia="Arial Unicode MS" w:cs="Arial"/>
          <w:szCs w:val="22"/>
        </w:rPr>
        <w:t xml:space="preserve">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w:t>
      </w:r>
      <w:proofErr w:type="spellStart"/>
      <w:r w:rsidR="00875C43" w:rsidRPr="00D676A3">
        <w:rPr>
          <w:b/>
          <w:u w:val="single"/>
          <w:lang w:eastAsia="en-US"/>
        </w:rPr>
        <w:t>Sercotec</w:t>
      </w:r>
      <w:proofErr w:type="spellEnd"/>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80113617"/>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proofErr w:type="spellStart"/>
      <w:r w:rsidR="00862984" w:rsidRPr="00D676A3">
        <w:rPr>
          <w:rFonts w:eastAsia="Arial Unicode MS" w:cs="Arial"/>
          <w:szCs w:val="22"/>
        </w:rPr>
        <w:t>Sercotec</w:t>
      </w:r>
      <w:proofErr w:type="spellEnd"/>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proofErr w:type="spellStart"/>
      <w:r w:rsidR="009C2E7E">
        <w:rPr>
          <w:rFonts w:eastAsia="Arial Unicode MS" w:cs="Arial"/>
          <w:szCs w:val="22"/>
        </w:rPr>
        <w:t>Sercotec</w:t>
      </w:r>
      <w:proofErr w:type="spellEnd"/>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w:t>
      </w:r>
      <w:proofErr w:type="spellStart"/>
      <w:r w:rsidR="00E23A55" w:rsidRPr="00D676A3">
        <w:rPr>
          <w:lang w:eastAsia="en-US"/>
        </w:rPr>
        <w:t>Sercotec</w:t>
      </w:r>
      <w:proofErr w:type="spellEnd"/>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w:t>
      </w:r>
      <w:proofErr w:type="spellStart"/>
      <w:r w:rsidR="00875C43" w:rsidRPr="00D676A3">
        <w:rPr>
          <w:lang w:eastAsia="en-US"/>
        </w:rPr>
        <w:t>Sercotec</w:t>
      </w:r>
      <w:proofErr w:type="spellEnd"/>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 xml:space="preserve">por </w:t>
      </w:r>
      <w:proofErr w:type="spellStart"/>
      <w:r w:rsidRPr="00C468E6">
        <w:rPr>
          <w:szCs w:val="22"/>
        </w:rPr>
        <w:t>Sercotec</w:t>
      </w:r>
      <w:proofErr w:type="spellEnd"/>
      <w:r w:rsidRPr="00C468E6">
        <w:rPr>
          <w:szCs w:val="22"/>
        </w:rPr>
        <w:t xml:space="preserve">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80113618"/>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002BCA6B" w14:textId="77777777" w:rsidR="00815FBD" w:rsidRDefault="00815FBD" w:rsidP="008C599F">
      <w:pPr>
        <w:jc w:val="both"/>
        <w:rPr>
          <w:rStyle w:val="Hipervnculo"/>
          <w:rFonts w:eastAsia="Arial Unicode MS"/>
          <w:color w:val="auto"/>
          <w:u w:val="none"/>
        </w:rPr>
      </w:pP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 xml:space="preserve">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w:t>
      </w:r>
      <w:proofErr w:type="spellStart"/>
      <w:r w:rsidRPr="004F102D">
        <w:rPr>
          <w:rFonts w:eastAsia="Arial Unicode MS" w:cs="Arial"/>
          <w:szCs w:val="22"/>
          <w:lang w:val="es-CL"/>
        </w:rPr>
        <w:t>Sercotec</w:t>
      </w:r>
      <w:proofErr w:type="spellEnd"/>
      <w:r w:rsidRPr="004F102D">
        <w:rPr>
          <w:rFonts w:eastAsia="Arial Unicode MS" w:cs="Arial"/>
          <w:szCs w:val="22"/>
          <w:lang w:val="es-CL"/>
        </w:rPr>
        <w:t>, previa solicitud formal por escrito de parte del/</w:t>
      </w:r>
      <w:proofErr w:type="gramStart"/>
      <w:r w:rsidRPr="004F102D">
        <w:rPr>
          <w:rFonts w:eastAsia="Arial Unicode MS" w:cs="Arial"/>
          <w:szCs w:val="22"/>
          <w:lang w:val="es-CL"/>
        </w:rPr>
        <w:t>la beneficiario</w:t>
      </w:r>
      <w:proofErr w:type="gramEnd"/>
      <w:r w:rsidRPr="004F102D">
        <w:rPr>
          <w:rFonts w:eastAsia="Arial Unicode MS" w:cs="Arial"/>
          <w:szCs w:val="22"/>
          <w:lang w:val="es-CL"/>
        </w:rPr>
        <w:t>/a.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4F102D">
        <w:rPr>
          <w:rFonts w:eastAsia="Arial Unicode MS" w:cs="Arial"/>
          <w:szCs w:val="22"/>
          <w:lang w:val="es-CL"/>
        </w:rPr>
        <w:t>Sercotec</w:t>
      </w:r>
      <w:proofErr w:type="spellEnd"/>
      <w:r w:rsidRPr="004F102D">
        <w:rPr>
          <w:rFonts w:eastAsia="Arial Unicode MS" w:cs="Arial"/>
          <w:szCs w:val="22"/>
          <w:lang w:val="es-CL"/>
        </w:rPr>
        <w:t xml:space="preserve">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369B65CD" w:rsidR="00B8108B" w:rsidRPr="00B8108B" w:rsidRDefault="00B8108B" w:rsidP="00F02AA8">
            <w:pPr>
              <w:jc w:val="both"/>
              <w:rPr>
                <w:szCs w:val="22"/>
              </w:rPr>
            </w:pPr>
            <w:proofErr w:type="spellStart"/>
            <w:r w:rsidRPr="00B8108B">
              <w:rPr>
                <w:szCs w:val="22"/>
              </w:rPr>
              <w:t>Sercotec</w:t>
            </w:r>
            <w:proofErr w:type="spellEnd"/>
            <w:r w:rsidRPr="00B8108B">
              <w:rPr>
                <w:szCs w:val="22"/>
              </w:rPr>
              <w:t xml:space="preserve">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F02AA8">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80113619"/>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 xml:space="preserve">el Agente Operador </w:t>
      </w:r>
      <w:proofErr w:type="spellStart"/>
      <w:r w:rsidR="00D63E26" w:rsidRPr="00B93A85">
        <w:rPr>
          <w:rFonts w:eastAsia="Arial Unicode MS" w:cs="Arial"/>
          <w:szCs w:val="22"/>
        </w:rPr>
        <w:t>Sercotec</w:t>
      </w:r>
      <w:proofErr w:type="spellEnd"/>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proofErr w:type="spellStart"/>
      <w:r w:rsidR="00C57F0D" w:rsidRPr="00B93A85">
        <w:rPr>
          <w:rFonts w:eastAsia="Arial Unicode MS" w:cs="Arial"/>
          <w:szCs w:val="22"/>
        </w:rPr>
        <w:t>Sercotec</w:t>
      </w:r>
      <w:proofErr w:type="spellEnd"/>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6F5BB1" w:rsidRPr="00B93A85">
        <w:rPr>
          <w:rFonts w:eastAsia="Arial Unicode MS" w:cs="Arial"/>
          <w:szCs w:val="22"/>
        </w:rPr>
        <w:t xml:space="preserve"> deberá realizar una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 xml:space="preserve">perador </w:t>
      </w:r>
      <w:proofErr w:type="spellStart"/>
      <w:r w:rsidR="00A75D6D" w:rsidRPr="00B93A85">
        <w:rPr>
          <w:rFonts w:eastAsia="Arial Unicode MS" w:cs="Arial"/>
          <w:szCs w:val="22"/>
        </w:rPr>
        <w:t>Sercotec</w:t>
      </w:r>
      <w:proofErr w:type="spellEnd"/>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w:t>
      </w:r>
      <w:proofErr w:type="spellStart"/>
      <w:r w:rsidR="006F5BB1" w:rsidRPr="00B93A85">
        <w:rPr>
          <w:rFonts w:eastAsia="Arial Unicode MS" w:cs="Arial"/>
          <w:szCs w:val="22"/>
        </w:rPr>
        <w:t>resciliación</w:t>
      </w:r>
      <w:proofErr w:type="spellEnd"/>
      <w:r w:rsidR="006F5BB1" w:rsidRPr="00B93A85">
        <w:rPr>
          <w:rFonts w:eastAsia="Arial Unicode MS" w:cs="Arial"/>
          <w:szCs w:val="22"/>
        </w:rPr>
        <w:t xml:space="preserve">. </w:t>
      </w:r>
    </w:p>
    <w:p w14:paraId="4D0E892D" w14:textId="77777777" w:rsidR="006F5BB1" w:rsidRPr="00970285" w:rsidRDefault="006F5BB1" w:rsidP="00477B3E">
      <w:pPr>
        <w:jc w:val="both"/>
        <w:rPr>
          <w:rFonts w:eastAsia="Arial Unicode MS" w:cs="Arial"/>
          <w:szCs w:val="22"/>
        </w:rPr>
      </w:pPr>
    </w:p>
    <w:p w14:paraId="41B14F40" w14:textId="450A1CA9"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w:t>
      </w:r>
      <w:proofErr w:type="spellStart"/>
      <w:r w:rsidRPr="00B93A85">
        <w:rPr>
          <w:rFonts w:eastAsia="Arial Unicode MS" w:cs="Arial"/>
          <w:szCs w:val="22"/>
        </w:rPr>
        <w:t>rescil</w:t>
      </w:r>
      <w:r w:rsidR="001861C3" w:rsidRPr="00B93A85">
        <w:rPr>
          <w:rFonts w:eastAsia="Arial Unicode MS" w:cs="Arial"/>
          <w:szCs w:val="22"/>
        </w:rPr>
        <w:t>i</w:t>
      </w:r>
      <w:r w:rsidRPr="00B93A85">
        <w:rPr>
          <w:rFonts w:eastAsia="Arial Unicode MS" w:cs="Arial"/>
          <w:szCs w:val="22"/>
        </w:rPr>
        <w:t>ación</w:t>
      </w:r>
      <w:proofErr w:type="spellEnd"/>
      <w:r w:rsidRPr="00B93A85">
        <w:rPr>
          <w:rFonts w:eastAsia="Arial Unicode MS" w:cs="Arial"/>
          <w:szCs w:val="22"/>
        </w:rPr>
        <w:t>.</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w:t>
      </w:r>
      <w:r w:rsidR="00F02AA8">
        <w:rPr>
          <w:rFonts w:eastAsia="Arial Unicode MS" w:cs="Arial"/>
          <w:szCs w:val="22"/>
        </w:rPr>
        <w:t>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w:t>
      </w:r>
      <w:proofErr w:type="spellStart"/>
      <w:r w:rsidRPr="009E1C8D">
        <w:rPr>
          <w:rFonts w:eastAsia="Arial Unicode MS" w:cs="Arial"/>
          <w:szCs w:val="22"/>
        </w:rPr>
        <w:t>Sercotec</w:t>
      </w:r>
      <w:proofErr w:type="spellEnd"/>
      <w:r w:rsidRPr="009E1C8D">
        <w:rPr>
          <w:rFonts w:eastAsia="Arial Unicode MS" w:cs="Arial"/>
          <w:szCs w:val="22"/>
        </w:rPr>
        <w:t xml:space="preserve">.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por </w:t>
      </w:r>
      <w:r w:rsidR="00C57590" w:rsidRPr="00B93A85">
        <w:rPr>
          <w:rFonts w:eastAsia="Arial Unicode MS" w:cs="Arial"/>
          <w:szCs w:val="22"/>
        </w:rPr>
        <w:t>el Agente O</w:t>
      </w:r>
      <w:r w:rsidR="00B91589" w:rsidRPr="00B93A85">
        <w:rPr>
          <w:rFonts w:eastAsia="Arial Unicode MS" w:cs="Arial"/>
          <w:szCs w:val="22"/>
        </w:rPr>
        <w:t xml:space="preserve">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 xml:space="preserve">/a Regional de </w:t>
      </w:r>
      <w:proofErr w:type="spellStart"/>
      <w:r w:rsidRPr="00B93A85">
        <w:rPr>
          <w:rFonts w:eastAsia="Arial Unicode MS" w:cs="Arial"/>
          <w:szCs w:val="22"/>
        </w:rPr>
        <w:t>Sercotec</w:t>
      </w:r>
      <w:proofErr w:type="spellEnd"/>
      <w:r w:rsidRPr="00B93A85">
        <w:rPr>
          <w:rFonts w:eastAsia="Arial Unicode MS" w:cs="Arial"/>
          <w:szCs w:val="22"/>
        </w:rPr>
        <w:t>.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w:t>
      </w:r>
      <w:proofErr w:type="spellStart"/>
      <w:r w:rsidR="00B91589" w:rsidRPr="00B93A85">
        <w:rPr>
          <w:rFonts w:eastAsia="Arial Unicode MS" w:cs="Arial"/>
          <w:szCs w:val="22"/>
        </w:rPr>
        <w:t>a</w:t>
      </w:r>
      <w:proofErr w:type="spellEnd"/>
      <w:r w:rsidRPr="00B93A85">
        <w:rPr>
          <w:rFonts w:eastAsia="Arial Unicode MS" w:cs="Arial"/>
          <w:szCs w:val="22"/>
        </w:rPr>
        <w:t xml:space="preserve"> señalado en el contrato, hecha por </w:t>
      </w:r>
      <w:r w:rsidR="00B91589" w:rsidRPr="00B93A85">
        <w:rPr>
          <w:rFonts w:eastAsia="Arial Unicode MS" w:cs="Arial"/>
          <w:szCs w:val="22"/>
        </w:rPr>
        <w:t xml:space="preserve">el Agente Operador </w:t>
      </w:r>
      <w:proofErr w:type="spellStart"/>
      <w:r w:rsidR="00B91589" w:rsidRPr="00B93A85">
        <w:rPr>
          <w:rFonts w:eastAsia="Arial Unicode MS" w:cs="Arial"/>
          <w:szCs w:val="22"/>
        </w:rPr>
        <w:t>Sercotec</w:t>
      </w:r>
      <w:proofErr w:type="spellEnd"/>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 xml:space="preserve">no podrán acceder a un instrumento de </w:t>
      </w:r>
      <w:proofErr w:type="spellStart"/>
      <w:r w:rsidR="00604F20" w:rsidRPr="00604F20">
        <w:rPr>
          <w:rFonts w:eastAsia="Arial Unicode MS" w:cs="Arial"/>
          <w:szCs w:val="22"/>
          <w:lang w:val="es-CL"/>
        </w:rPr>
        <w:t>Sercotec</w:t>
      </w:r>
      <w:proofErr w:type="spellEnd"/>
      <w:r w:rsidR="00604F20" w:rsidRPr="00604F20">
        <w:rPr>
          <w:rFonts w:eastAsia="Arial Unicode MS" w:cs="Arial"/>
          <w:szCs w:val="22"/>
          <w:lang w:val="es-CL"/>
        </w:rPr>
        <w:t xml:space="preserve">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w:t>
      </w:r>
      <w:proofErr w:type="spellStart"/>
      <w:r w:rsidR="006F5BB1" w:rsidRPr="00B93A85">
        <w:rPr>
          <w:rFonts w:eastAsia="Arial Unicode MS" w:cs="Arial"/>
          <w:szCs w:val="22"/>
        </w:rPr>
        <w:t>Sercotec</w:t>
      </w:r>
      <w:proofErr w:type="spellEnd"/>
      <w:r w:rsidR="006F5BB1" w:rsidRPr="00B93A85">
        <w:rPr>
          <w:rFonts w:eastAsia="Arial Unicode MS" w:cs="Arial"/>
          <w:szCs w:val="22"/>
        </w:rPr>
        <w:t xml:space="preserve">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80113620"/>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w:t>
      </w:r>
      <w:proofErr w:type="spellStart"/>
      <w:r w:rsidRPr="008F696C">
        <w:rPr>
          <w:rFonts w:eastAsia="gobCL" w:cs="gobCL"/>
          <w:b/>
        </w:rPr>
        <w:t>Sercotec</w:t>
      </w:r>
      <w:proofErr w:type="spellEnd"/>
      <w:r w:rsidRPr="008F696C">
        <w:rPr>
          <w:rFonts w:eastAsia="gobCL" w:cs="gobCL"/>
          <w:b/>
        </w:rPr>
        <w:t xml:space="preserve">, a través de su Director Regional, podrán autorizar la realización de todas las actividades que requieran interacción humana presencial, ya sea entre el agente operador, el cliente y/o ejecutivos de fomento de </w:t>
      </w:r>
      <w:proofErr w:type="spellStart"/>
      <w:r w:rsidRPr="008F696C">
        <w:rPr>
          <w:rFonts w:eastAsia="gobCL" w:cs="gobCL"/>
          <w:b/>
        </w:rPr>
        <w:t>Sercotec</w:t>
      </w:r>
      <w:proofErr w:type="spellEnd"/>
      <w:r w:rsidRPr="008F696C">
        <w:rPr>
          <w:rFonts w:eastAsia="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w:t>
      </w:r>
      <w:proofErr w:type="spellStart"/>
      <w:r w:rsidRPr="007C34FE">
        <w:rPr>
          <w:rFonts w:eastAsia="gobCL" w:cs="gobCL"/>
        </w:rPr>
        <w:t>Sercotec</w:t>
      </w:r>
      <w:proofErr w:type="spellEnd"/>
      <w:r w:rsidRPr="007C34FE">
        <w:rPr>
          <w:rFonts w:eastAsia="gobCL" w:cs="gobCL"/>
        </w:rPr>
        <w:t>,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 xml:space="preserve">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80113621"/>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 xml:space="preserve">financiamiento </w:t>
            </w:r>
            <w:proofErr w:type="spellStart"/>
            <w:r w:rsidRPr="00C06246">
              <w:rPr>
                <w:rFonts w:cs="Calibri"/>
                <w:sz w:val="18"/>
                <w:szCs w:val="18"/>
                <w:lang w:val="es-CL" w:eastAsia="en-US"/>
              </w:rPr>
              <w:t>Sercotec</w:t>
            </w:r>
            <w:proofErr w:type="spellEnd"/>
            <w:r w:rsidRPr="00C06246">
              <w:rPr>
                <w:rFonts w:cs="Calibri"/>
                <w:sz w:val="18"/>
                <w:szCs w:val="18"/>
                <w:lang w:val="es-CL" w:eastAsia="en-US"/>
              </w:rPr>
              <w:t xml:space="preserve">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No tener deudas laborales o previsionales ni multas impagas, asociadas al Rut de la empresa postulante, a la fecha de envío de la postulación.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xml:space="preserve">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 xml:space="preserve">No tener rendiciones pendientes con </w:t>
            </w:r>
            <w:proofErr w:type="spellStart"/>
            <w:r w:rsidRPr="000604EF">
              <w:rPr>
                <w:rFonts w:cs="Calibri"/>
                <w:sz w:val="18"/>
                <w:szCs w:val="18"/>
                <w:lang w:val="es-CL" w:eastAsia="en-US"/>
              </w:rPr>
              <w:t>Sercotec</w:t>
            </w:r>
            <w:proofErr w:type="spellEnd"/>
            <w:r w:rsidRPr="000604EF">
              <w:rPr>
                <w:rFonts w:cs="Calibri"/>
                <w:sz w:val="18"/>
                <w:szCs w:val="18"/>
                <w:lang w:val="es-CL" w:eastAsia="en-US"/>
              </w:rPr>
              <w:t>,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w:t>
            </w:r>
            <w:proofErr w:type="spellStart"/>
            <w:r w:rsidRPr="002F2885">
              <w:rPr>
                <w:rFonts w:cs="Calibri"/>
                <w:sz w:val="18"/>
                <w:szCs w:val="18"/>
                <w:lang w:eastAsia="en-US"/>
              </w:rPr>
              <w:t>Sercotec</w:t>
            </w:r>
            <w:proofErr w:type="spellEnd"/>
            <w:r w:rsidRPr="002F2885">
              <w:rPr>
                <w:rFonts w:cs="Calibri"/>
                <w:sz w:val="18"/>
                <w:szCs w:val="18"/>
                <w:lang w:eastAsia="en-US"/>
              </w:rPr>
              <w:t xml:space="preserve"> con el Agente Operador </w:t>
            </w:r>
            <w:proofErr w:type="spellStart"/>
            <w:r w:rsidRPr="002F2885">
              <w:rPr>
                <w:rFonts w:cs="Calibri"/>
                <w:sz w:val="18"/>
                <w:szCs w:val="18"/>
                <w:lang w:eastAsia="en-US"/>
              </w:rPr>
              <w:t>Sercotec</w:t>
            </w:r>
            <w:proofErr w:type="spellEnd"/>
            <w:r w:rsidRPr="002F2885">
              <w:rPr>
                <w:rFonts w:cs="Calibri"/>
                <w:sz w:val="18"/>
                <w:szCs w:val="18"/>
                <w:lang w:eastAsia="en-US"/>
              </w:rPr>
              <w:t xml:space="preserve">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 xml:space="preserve">Requisito validado por </w:t>
            </w:r>
            <w:proofErr w:type="spellStart"/>
            <w:r w:rsidRPr="00B37244">
              <w:rPr>
                <w:rFonts w:cs="Calibri"/>
                <w:sz w:val="18"/>
                <w:szCs w:val="18"/>
                <w:lang w:val="es-CL" w:eastAsia="en-US"/>
              </w:rPr>
              <w:t>Sercotec</w:t>
            </w:r>
            <w:proofErr w:type="spellEnd"/>
            <w:r w:rsidRPr="00B37244">
              <w:rPr>
                <w:rFonts w:cs="Calibri"/>
                <w:sz w:val="18"/>
                <w:szCs w:val="18"/>
                <w:lang w:val="es-CL" w:eastAsia="en-US"/>
              </w:rPr>
              <w:t xml:space="preserve">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w:t>
            </w:r>
            <w:proofErr w:type="spellStart"/>
            <w:r w:rsidRPr="00B37244">
              <w:rPr>
                <w:rFonts w:cs="Calibri"/>
                <w:sz w:val="18"/>
                <w:szCs w:val="18"/>
                <w:lang w:val="es-CL" w:eastAsia="en-US"/>
              </w:rPr>
              <w:t>Sercotec</w:t>
            </w:r>
            <w:proofErr w:type="spellEnd"/>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w:t>
            </w:r>
            <w:proofErr w:type="spellStart"/>
            <w:r w:rsidRPr="00B37244">
              <w:rPr>
                <w:rFonts w:cs="Calibri"/>
                <w:sz w:val="18"/>
                <w:szCs w:val="18"/>
                <w:lang w:val="es-CL" w:eastAsia="en-US"/>
              </w:rPr>
              <w:t>Reemprendimiento</w:t>
            </w:r>
            <w:proofErr w:type="spellEnd"/>
            <w:r w:rsidRPr="00B37244">
              <w:rPr>
                <w:rFonts w:cs="Calibri"/>
                <w:sz w:val="18"/>
                <w:szCs w:val="18"/>
                <w:lang w:val="es-CL" w:eastAsia="en-US"/>
              </w:rPr>
              <w:t>.</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 xml:space="preserve">No haber sido beneficiario de convocatorias Reactívate </w:t>
            </w:r>
            <w:proofErr w:type="spellStart"/>
            <w:r w:rsidRPr="004F102D">
              <w:rPr>
                <w:rFonts w:cs="Calibri"/>
                <w:sz w:val="18"/>
                <w:szCs w:val="18"/>
                <w:lang w:eastAsia="en-US"/>
              </w:rPr>
              <w:t>Sercotec</w:t>
            </w:r>
            <w:proofErr w:type="spellEnd"/>
            <w:r w:rsidRPr="004F102D">
              <w:rPr>
                <w:rFonts w:cs="Calibri"/>
                <w:sz w:val="18"/>
                <w:szCs w:val="18"/>
                <w:lang w:eastAsia="en-US"/>
              </w:rPr>
              <w:t xml:space="preserve"> 2020 (se excluyen aquellas convocatorias anteriores al 31.03.2020) y 2021 (cualquier fuente financiamiento) y de convocatorias Crece 2021 (cualquier fuente de financiamiento). </w:t>
            </w:r>
            <w:proofErr w:type="spellStart"/>
            <w:r w:rsidRPr="004F102D">
              <w:rPr>
                <w:rFonts w:cs="Calibri"/>
                <w:sz w:val="18"/>
                <w:szCs w:val="18"/>
                <w:lang w:eastAsia="en-US"/>
              </w:rPr>
              <w:t>Sercotec</w:t>
            </w:r>
            <w:proofErr w:type="spellEnd"/>
            <w:r w:rsidRPr="004F102D">
              <w:rPr>
                <w:rFonts w:cs="Calibri"/>
                <w:sz w:val="18"/>
                <w:szCs w:val="18"/>
                <w:lang w:eastAsia="en-US"/>
              </w:rPr>
              <w:t xml:space="preserve">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F23357"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 xml:space="preserve">No haber sido beneficiario de convocatorias Reactívate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2020 (se excluyen aquellas convocatorias anteriores al 31.03.2020) y 2021 (cualquier fuente financiamiento) y de convocatorias Crece 2021 (cualquier fuente de financiamiento). </w:t>
            </w:r>
            <w:proofErr w:type="spellStart"/>
            <w:r w:rsidRPr="004F102D">
              <w:rPr>
                <w:rFonts w:eastAsia="Arial Unicode MS" w:cs="Calibri"/>
                <w:sz w:val="18"/>
                <w:szCs w:val="18"/>
                <w:lang w:val="es-CL" w:eastAsia="en-US"/>
              </w:rPr>
              <w:t>Sercotec</w:t>
            </w:r>
            <w:proofErr w:type="spellEnd"/>
            <w:r w:rsidRPr="004F102D">
              <w:rPr>
                <w:rFonts w:eastAsia="Arial Unicode MS" w:cs="Calibri"/>
                <w:sz w:val="18"/>
                <w:szCs w:val="18"/>
                <w:lang w:val="es-CL" w:eastAsia="en-US"/>
              </w:rPr>
              <w:t xml:space="preserve">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 xml:space="preserve">El titular o representante legal de la empresa, ya sea esta natural o jurídica, no podrá tener contrato vigente, incluso a honorarios, con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o 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el personal del Agente Operador </w:t>
            </w:r>
            <w:proofErr w:type="spellStart"/>
            <w:r w:rsidRPr="00B57772">
              <w:rPr>
                <w:rFonts w:eastAsia="Arial Unicode MS" w:cs="Calibri"/>
                <w:sz w:val="18"/>
                <w:szCs w:val="18"/>
                <w:lang w:val="es-CL" w:eastAsia="en-US"/>
              </w:rPr>
              <w:t>Sercotec</w:t>
            </w:r>
            <w:proofErr w:type="spellEnd"/>
            <w:r w:rsidRPr="00B57772">
              <w:rPr>
                <w:rFonts w:eastAsia="Arial Unicode MS" w:cs="Calibri"/>
                <w:sz w:val="18"/>
                <w:szCs w:val="18"/>
                <w:lang w:val="es-CL" w:eastAsia="en-US"/>
              </w:rPr>
              <w:t xml:space="preserve">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Previo a la firma de contrato, el beneficiario/a debe entregar al Agente Operador </w:t>
            </w:r>
            <w:proofErr w:type="spellStart"/>
            <w:r w:rsidRPr="00B93A85">
              <w:rPr>
                <w:rFonts w:eastAsia="Arial Unicode MS" w:cs="Calibri"/>
                <w:sz w:val="18"/>
                <w:szCs w:val="18"/>
                <w:lang w:val="es-CL" w:eastAsia="en-US"/>
              </w:rPr>
              <w:t>Sercotec</w:t>
            </w:r>
            <w:proofErr w:type="spellEnd"/>
            <w:r w:rsidRPr="00B93A85">
              <w:rPr>
                <w:rFonts w:eastAsia="Arial Unicode MS" w:cs="Calibri"/>
                <w:sz w:val="18"/>
                <w:szCs w:val="18"/>
                <w:lang w:val="es-CL" w:eastAsia="en-US"/>
              </w:rPr>
              <w:t xml:space="preserve">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80113622"/>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proofErr w:type="spellStart"/>
            <w:r w:rsidR="007569BA" w:rsidRPr="00B93A85">
              <w:rPr>
                <w:i/>
                <w:iCs/>
                <w:sz w:val="20"/>
                <w:szCs w:val="20"/>
                <w:lang w:val="es-CL"/>
              </w:rPr>
              <w:t>Search</w:t>
            </w:r>
            <w:proofErr w:type="spellEnd"/>
            <w:r w:rsidR="007569BA" w:rsidRPr="00B93A85">
              <w:rPr>
                <w:i/>
                <w:iCs/>
                <w:sz w:val="20"/>
                <w:szCs w:val="20"/>
                <w:lang w:val="es-CL"/>
              </w:rPr>
              <w:t xml:space="preserve"> </w:t>
            </w:r>
            <w:proofErr w:type="spellStart"/>
            <w:r w:rsidR="007569BA" w:rsidRPr="00B93A85">
              <w:rPr>
                <w:i/>
                <w:iCs/>
                <w:sz w:val="20"/>
                <w:szCs w:val="20"/>
                <w:lang w:val="es-CL"/>
              </w:rPr>
              <w:t>engine</w:t>
            </w:r>
            <w:proofErr w:type="spellEnd"/>
            <w:r w:rsidR="007569BA" w:rsidRPr="00B93A85">
              <w:rPr>
                <w:i/>
                <w:iCs/>
                <w:sz w:val="20"/>
                <w:szCs w:val="20"/>
                <w:lang w:val="es-CL"/>
              </w:rPr>
              <w:t xml:space="preserve"> </w:t>
            </w:r>
            <w:proofErr w:type="spellStart"/>
            <w:r w:rsidR="007569BA" w:rsidRPr="00B93A85">
              <w:rPr>
                <w:i/>
                <w:iCs/>
                <w:sz w:val="20"/>
                <w:szCs w:val="20"/>
                <w:lang w:val="es-CL"/>
              </w:rPr>
              <w:t>optimization</w:t>
            </w:r>
            <w:proofErr w:type="spellEnd"/>
            <w:r w:rsidR="007569BA" w:rsidRPr="00B93A85">
              <w:rPr>
                <w:sz w:val="20"/>
                <w:szCs w:val="20"/>
                <w:lang w:val="es-CL"/>
              </w:rPr>
              <w:t xml:space="preserve">), gestión y publicación en redes sociales, </w:t>
            </w:r>
            <w:proofErr w:type="spellStart"/>
            <w:r w:rsidR="007569BA" w:rsidRPr="00B93A85">
              <w:rPr>
                <w:i/>
                <w:iCs/>
                <w:sz w:val="20"/>
                <w:szCs w:val="20"/>
                <w:lang w:val="es-CL"/>
              </w:rPr>
              <w:t>mailing</w:t>
            </w:r>
            <w:proofErr w:type="spellEnd"/>
            <w:r w:rsidR="007569BA" w:rsidRPr="00B93A85">
              <w:rPr>
                <w:sz w:val="20"/>
                <w:szCs w:val="20"/>
                <w:lang w:val="es-CL"/>
              </w:rPr>
              <w:t>, comercio electrónico (</w:t>
            </w:r>
            <w:r w:rsidR="007569BA" w:rsidRPr="00B93A85">
              <w:rPr>
                <w:i/>
                <w:iCs/>
                <w:sz w:val="20"/>
                <w:szCs w:val="20"/>
                <w:lang w:val="es-CL"/>
              </w:rPr>
              <w:t>e-</w:t>
            </w:r>
            <w:proofErr w:type="spellStart"/>
            <w:r w:rsidR="007569BA" w:rsidRPr="00B93A85">
              <w:rPr>
                <w:i/>
                <w:iCs/>
                <w:sz w:val="20"/>
                <w:szCs w:val="20"/>
                <w:lang w:val="es-CL"/>
              </w:rPr>
              <w:t>commerce</w:t>
            </w:r>
            <w:proofErr w:type="spellEnd"/>
            <w:r w:rsidR="007569BA" w:rsidRPr="00B93A85">
              <w:rPr>
                <w:i/>
                <w:iCs/>
                <w:sz w:val="20"/>
                <w:szCs w:val="20"/>
                <w:lang w:val="es-CL"/>
              </w:rPr>
              <w:t xml:space="preserve">), </w:t>
            </w:r>
            <w:r w:rsidR="007569BA" w:rsidRPr="00B93A85">
              <w:rPr>
                <w:sz w:val="20"/>
                <w:szCs w:val="20"/>
                <w:lang w:val="es-CL"/>
              </w:rPr>
              <w:t xml:space="preserve">publicidad </w:t>
            </w:r>
            <w:proofErr w:type="spellStart"/>
            <w:r w:rsidR="007569BA" w:rsidRPr="00B93A85">
              <w:rPr>
                <w:i/>
                <w:iCs/>
                <w:sz w:val="20"/>
                <w:szCs w:val="20"/>
                <w:lang w:val="es-CL"/>
              </w:rPr>
              <w:t>display</w:t>
            </w:r>
            <w:proofErr w:type="spellEnd"/>
            <w:r w:rsidR="007569BA" w:rsidRPr="00B93A85">
              <w:rPr>
                <w:i/>
                <w:iCs/>
                <w:sz w:val="20"/>
                <w:szCs w:val="20"/>
                <w:lang w:val="es-CL"/>
              </w:rPr>
              <w:t xml:space="preserve">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105C3D2B"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 xml:space="preserve">perador </w:t>
            </w:r>
            <w:proofErr w:type="spellStart"/>
            <w:r w:rsidRPr="00B93A85">
              <w:rPr>
                <w:rFonts w:cs="Arial"/>
                <w:bCs/>
                <w:snapToGrid w:val="0"/>
                <w:sz w:val="20"/>
                <w:lang w:val="es-CL"/>
              </w:rPr>
              <w:t>Sercotec</w:t>
            </w:r>
            <w:proofErr w:type="spellEnd"/>
            <w:r w:rsidRPr="00B93A85">
              <w:rPr>
                <w:rFonts w:cs="Arial"/>
                <w:bCs/>
                <w:snapToGrid w:val="0"/>
                <w:sz w:val="20"/>
                <w:lang w:val="es-CL"/>
              </w:rPr>
              <w:t>.</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w:t>
            </w:r>
            <w:proofErr w:type="spellStart"/>
            <w:r w:rsidRPr="00B93A85">
              <w:rPr>
                <w:rFonts w:cs="Arial"/>
                <w:bCs/>
                <w:snapToGrid w:val="0"/>
                <w:sz w:val="20"/>
                <w:lang w:val="es-CL"/>
              </w:rPr>
              <w:t>subítem</w:t>
            </w:r>
            <w:proofErr w:type="spellEnd"/>
            <w:r w:rsidRPr="00B93A85">
              <w:rPr>
                <w:rFonts w:cs="Arial"/>
                <w:bCs/>
                <w:snapToGrid w:val="0"/>
                <w:sz w:val="20"/>
                <w:lang w:val="es-CL"/>
              </w:rPr>
              <w:t xml:space="preserve">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16896A43" w14:textId="37F7D895" w:rsidR="00B01203" w:rsidRPr="00F02AA8" w:rsidRDefault="008A29CB" w:rsidP="00F02AA8">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F02AA8" w:rsidRPr="00B93A85" w14:paraId="2012757C" w14:textId="77777777" w:rsidTr="00D301AA">
        <w:tc>
          <w:tcPr>
            <w:tcW w:w="1776" w:type="dxa"/>
          </w:tcPr>
          <w:p w14:paraId="35C48F7B" w14:textId="19C10B42" w:rsidR="00F02AA8" w:rsidRPr="00B93A85" w:rsidRDefault="00F02AA8"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29FD9838" w14:textId="77777777" w:rsidR="00F02AA8" w:rsidRPr="00037E36" w:rsidRDefault="00F02AA8" w:rsidP="00F02AA8">
            <w:pPr>
              <w:pStyle w:val="Prrafodelista"/>
              <w:widowControl w:val="0"/>
              <w:ind w:left="277"/>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037E36">
              <w:rPr>
                <w:rFonts w:cs="Calibri"/>
                <w:sz w:val="20"/>
                <w:szCs w:val="20"/>
                <w:lang w:eastAsia="es-CL"/>
              </w:rPr>
              <w:t>sanitización</w:t>
            </w:r>
            <w:proofErr w:type="spellEnd"/>
            <w:r w:rsidRPr="00037E36">
              <w:rPr>
                <w:rFonts w:cs="Calibri"/>
                <w:sz w:val="20"/>
                <w:szCs w:val="20"/>
                <w:lang w:eastAsia="es-CL"/>
              </w:rPr>
              <w:t xml:space="preserve">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00C57849" w14:textId="77777777" w:rsidR="00F02AA8" w:rsidRDefault="00F02AA8" w:rsidP="00F02AA8">
            <w:pPr>
              <w:widowControl w:val="0"/>
              <w:ind w:left="360"/>
              <w:jc w:val="both"/>
              <w:rPr>
                <w:rFonts w:cs="Calibri"/>
                <w:sz w:val="20"/>
                <w:szCs w:val="20"/>
                <w:lang w:eastAsia="es-CL"/>
              </w:rPr>
            </w:pPr>
          </w:p>
          <w:p w14:paraId="50C13B72" w14:textId="793B6934" w:rsidR="00F02AA8" w:rsidRPr="00F02AA8" w:rsidRDefault="00F02AA8" w:rsidP="00F02AA8">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r w:rsidRPr="00F02AA8">
              <w:rPr>
                <w:rFonts w:ascii="Calibri" w:hAnsi="Calibri" w:cs="Calibri"/>
                <w:sz w:val="20"/>
                <w:szCs w:val="20"/>
                <w:lang w:eastAsia="es-CL"/>
              </w:rPr>
              <w:t>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80113623"/>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xml:space="preserve">…..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576349AD"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w:t>
      </w:r>
      <w:proofErr w:type="spellStart"/>
      <w:r w:rsidR="007F6914">
        <w:rPr>
          <w:rFonts w:eastAsia="Calibri" w:cs="Arial"/>
          <w:szCs w:val="22"/>
          <w:lang w:val="es-CL" w:eastAsia="en-US"/>
        </w:rPr>
        <w:t>de</w:t>
      </w:r>
      <w:proofErr w:type="spellEnd"/>
      <w:r w:rsidR="007F6914">
        <w:rPr>
          <w:rFonts w:eastAsia="Calibri" w:cs="Arial"/>
          <w:szCs w:val="22"/>
          <w:lang w:val="es-CL" w:eastAsia="en-US"/>
        </w:rPr>
        <w:t xml:space="preserv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Región de</w:t>
      </w:r>
      <w:r w:rsidR="00DE080C">
        <w:rPr>
          <w:b/>
        </w:rPr>
        <w:t>l</w:t>
      </w:r>
      <w:r w:rsidR="00C84733">
        <w:rPr>
          <w:b/>
        </w:rPr>
        <w:t xml:space="preserve"> </w:t>
      </w:r>
      <w:r w:rsidR="00DE080C">
        <w:rPr>
          <w:b/>
        </w:rPr>
        <w:t>Biobío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80113624"/>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3EBEA69D" w14:textId="77777777" w:rsidR="00053BEB" w:rsidRDefault="00053BEB" w:rsidP="00053BEB">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330AA609" w14:textId="77777777" w:rsidR="00053BEB" w:rsidRPr="004519C7" w:rsidRDefault="00053BEB" w:rsidP="00053BEB">
      <w:pPr>
        <w:ind w:left="720"/>
        <w:jc w:val="both"/>
        <w:rPr>
          <w:snapToGrid w:val="0"/>
        </w:rPr>
      </w:pPr>
    </w:p>
    <w:p w14:paraId="3A90684F" w14:textId="77777777" w:rsidR="00053BEB" w:rsidRPr="004519C7" w:rsidRDefault="00053BEB" w:rsidP="00053BEB">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50FE6BA6" w14:textId="77777777" w:rsidR="00053BEB" w:rsidRDefault="00053BEB" w:rsidP="00053BEB">
      <w:pPr>
        <w:ind w:left="720"/>
        <w:jc w:val="both"/>
        <w:rPr>
          <w:bCs/>
          <w:snapToGrid w:val="0"/>
        </w:rPr>
      </w:pPr>
    </w:p>
    <w:p w14:paraId="4B74AE0C" w14:textId="77777777" w:rsidR="00053BEB" w:rsidRPr="004519C7" w:rsidRDefault="00053BEB" w:rsidP="00053BE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5645EE08" w14:textId="77777777" w:rsidR="00053BEB" w:rsidRDefault="00053BEB" w:rsidP="00053BEB">
      <w:pPr>
        <w:ind w:left="720"/>
        <w:jc w:val="both"/>
        <w:rPr>
          <w:snapToGrid w:val="0"/>
        </w:rPr>
      </w:pPr>
    </w:p>
    <w:p w14:paraId="53C9836B" w14:textId="77777777" w:rsidR="00053BEB" w:rsidRPr="004519C7" w:rsidRDefault="00053BEB" w:rsidP="00053BEB">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74C389E4" w14:textId="77777777" w:rsidR="00053BEB" w:rsidRDefault="00053BEB" w:rsidP="00053BEB">
      <w:pPr>
        <w:ind w:left="720"/>
        <w:jc w:val="both"/>
        <w:rPr>
          <w:bCs/>
          <w:snapToGrid w:val="0"/>
        </w:rPr>
      </w:pPr>
    </w:p>
    <w:p w14:paraId="0C8DF0DC" w14:textId="77777777" w:rsidR="00053BEB" w:rsidRPr="004519C7" w:rsidRDefault="00053BEB" w:rsidP="00053BEB">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3C5DD34E" w14:textId="77777777" w:rsidR="00053BEB" w:rsidRDefault="00053BEB" w:rsidP="00053BEB">
      <w:pPr>
        <w:ind w:left="720"/>
        <w:jc w:val="both"/>
        <w:rPr>
          <w:snapToGrid w:val="0"/>
        </w:rPr>
      </w:pPr>
    </w:p>
    <w:p w14:paraId="768037B1" w14:textId="77777777" w:rsidR="00053BEB" w:rsidRPr="004519C7" w:rsidRDefault="00053BEB" w:rsidP="00053BEB">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2FE571C5" w14:textId="77777777" w:rsidR="00053BEB" w:rsidRDefault="00053BEB" w:rsidP="00053BEB">
      <w:pPr>
        <w:ind w:left="720"/>
        <w:jc w:val="both"/>
        <w:rPr>
          <w:snapToGrid w:val="0"/>
        </w:rPr>
      </w:pPr>
    </w:p>
    <w:p w14:paraId="104A5EC6" w14:textId="77777777" w:rsidR="00053BEB" w:rsidRDefault="00053BEB" w:rsidP="00053BEB">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0227AFE" w14:textId="77777777" w:rsidR="00053BEB" w:rsidRDefault="00053BEB" w:rsidP="00053BEB">
      <w:pPr>
        <w:pStyle w:val="Prrafodelista"/>
        <w:rPr>
          <w:snapToGrid w:val="0"/>
        </w:rPr>
      </w:pPr>
    </w:p>
    <w:p w14:paraId="15D52A6F" w14:textId="77777777" w:rsidR="00053BEB" w:rsidRPr="004519C7" w:rsidRDefault="00053BEB" w:rsidP="00053BEB">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2DC994BB" w14:textId="77777777" w:rsidR="00053BEB" w:rsidRDefault="00053BEB" w:rsidP="00053BEB">
      <w:pPr>
        <w:ind w:left="720"/>
        <w:jc w:val="both"/>
        <w:rPr>
          <w:bCs/>
          <w:snapToGrid w:val="0"/>
        </w:rPr>
      </w:pPr>
    </w:p>
    <w:p w14:paraId="295B8A73" w14:textId="77777777" w:rsidR="00053BEB" w:rsidRPr="004519C7" w:rsidRDefault="00053BEB" w:rsidP="00053BEB">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w:t>
      </w:r>
      <w:proofErr w:type="gramStart"/>
      <w:r w:rsidRPr="004519C7">
        <w:rPr>
          <w:bCs/>
          <w:snapToGrid w:val="0"/>
          <w:u w:val="single"/>
        </w:rPr>
        <w:t>primas,  materiales</w:t>
      </w:r>
      <w:proofErr w:type="gramEnd"/>
      <w:r w:rsidRPr="004519C7">
        <w:rPr>
          <w:bCs/>
          <w:snapToGrid w:val="0"/>
          <w:u w:val="single"/>
        </w:rPr>
        <w:t xml:space="preserve">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37DB2051" w14:textId="77777777" w:rsidR="00053BEB" w:rsidRDefault="00053BEB" w:rsidP="00053BEB">
      <w:pPr>
        <w:ind w:left="720"/>
        <w:jc w:val="both"/>
        <w:rPr>
          <w:bCs/>
          <w:snapToGrid w:val="0"/>
        </w:rPr>
      </w:pPr>
    </w:p>
    <w:p w14:paraId="6C73824A" w14:textId="77777777" w:rsidR="00053BEB" w:rsidRPr="004519C7" w:rsidRDefault="00053BEB" w:rsidP="00053BEB">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80113625"/>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80113626"/>
      <w:r w:rsidRPr="005E13EE">
        <w:rPr>
          <w:szCs w:val="22"/>
        </w:rPr>
        <w:lastRenderedPageBreak/>
        <w:t>ANEXO N°</w:t>
      </w:r>
      <w:r w:rsidR="00805CE3">
        <w:rPr>
          <w:szCs w:val="22"/>
        </w:rPr>
        <w:t xml:space="preserve"> </w:t>
      </w:r>
      <w:r w:rsidR="00AA73E9">
        <w:rPr>
          <w:szCs w:val="22"/>
        </w:rPr>
        <w:t>6</w:t>
      </w:r>
      <w:r w:rsidR="005E13EE" w:rsidRPr="005E13EE">
        <w:rPr>
          <w:szCs w:val="22"/>
        </w:rPr>
        <w:t xml:space="preserve">. CRITERIOS DE EVALUACIÓN DEL COMITÉ DE EVALUACIÓN </w:t>
      </w:r>
      <w:proofErr w:type="gramStart"/>
      <w:r w:rsidR="005E13EE" w:rsidRPr="005E13EE">
        <w:rPr>
          <w:szCs w:val="22"/>
        </w:rPr>
        <w:t>REGIONAL</w:t>
      </w:r>
      <w:r w:rsidR="0023467C">
        <w:rPr>
          <w:szCs w:val="22"/>
        </w:rPr>
        <w:t xml:space="preserve"> </w:t>
      </w:r>
      <w:r w:rsidR="0023467C" w:rsidRPr="00E91901">
        <w:rPr>
          <w:b w:val="0"/>
          <w:bCs w:val="0"/>
          <w:iCs w:val="0"/>
          <w:snapToGrid w:val="0"/>
          <w:sz w:val="20"/>
          <w:szCs w:val="24"/>
          <w:lang w:val="es-ES"/>
        </w:rPr>
        <w:t>.</w:t>
      </w:r>
      <w:bookmarkEnd w:id="94"/>
      <w:proofErr w:type="gramEnd"/>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340B08" w:rsidRPr="004F6B61" w14:paraId="789DF242" w14:textId="77777777" w:rsidTr="00340B08">
        <w:trPr>
          <w:trHeight w:val="1356"/>
          <w:jc w:val="center"/>
        </w:trPr>
        <w:tc>
          <w:tcPr>
            <w:tcW w:w="1996" w:type="dxa"/>
            <w:vMerge w:val="restart"/>
            <w:vAlign w:val="center"/>
          </w:tcPr>
          <w:p w14:paraId="428E351A" w14:textId="3DAAF2DC" w:rsidR="00340B08" w:rsidRPr="00340B08" w:rsidRDefault="00340B08" w:rsidP="00340B08">
            <w:pPr>
              <w:pStyle w:val="Prrafodelista"/>
              <w:numPr>
                <w:ilvl w:val="0"/>
                <w:numId w:val="4"/>
              </w:numPr>
              <w:tabs>
                <w:tab w:val="left" w:pos="525"/>
              </w:tabs>
              <w:ind w:left="22" w:firstLine="0"/>
              <w:jc w:val="both"/>
              <w:rPr>
                <w:rFonts w:cstheme="minorHAnsi"/>
                <w:b/>
                <w:sz w:val="19"/>
                <w:szCs w:val="19"/>
                <w:lang w:val="es-CL" w:eastAsia="en-US"/>
              </w:rPr>
            </w:pPr>
            <w:r w:rsidRPr="00340B08">
              <w:rPr>
                <w:rFonts w:cstheme="minorHAnsi"/>
                <w:b/>
                <w:sz w:val="20"/>
                <w:szCs w:val="20"/>
              </w:rPr>
              <w:t>Empresas que desarrollan actividades económicas con enfoque multisectorial   a excepción de aquellas primarias  extractivas</w:t>
            </w:r>
            <w:r w:rsidRPr="00340B08">
              <w:rPr>
                <w:rFonts w:cstheme="minorHAnsi"/>
                <w:sz w:val="20"/>
                <w:szCs w:val="20"/>
              </w:rPr>
              <w:t>.</w:t>
            </w:r>
          </w:p>
        </w:tc>
        <w:tc>
          <w:tcPr>
            <w:tcW w:w="9072" w:type="dxa"/>
            <w:vAlign w:val="center"/>
          </w:tcPr>
          <w:p w14:paraId="38B6E684" w14:textId="04CA01F0" w:rsidR="00340B08" w:rsidRPr="00B203A1" w:rsidRDefault="00340B08" w:rsidP="00340B08">
            <w:pPr>
              <w:jc w:val="both"/>
              <w:rPr>
                <w:rFonts w:cstheme="minorHAnsi"/>
                <w:sz w:val="19"/>
                <w:szCs w:val="19"/>
              </w:rPr>
            </w:pPr>
            <w:r w:rsidRPr="0062422E">
              <w:rPr>
                <w:rFonts w:cstheme="minorHAnsi"/>
                <w:sz w:val="19"/>
                <w:szCs w:val="19"/>
              </w:rPr>
              <w:t>Empresas que desarrollan actividades   económicas con enfoque multisectorial   a excepción de aquellas primarias  extractivas.</w:t>
            </w:r>
          </w:p>
        </w:tc>
        <w:tc>
          <w:tcPr>
            <w:tcW w:w="850" w:type="dxa"/>
            <w:vAlign w:val="center"/>
          </w:tcPr>
          <w:p w14:paraId="5BB62FCA" w14:textId="54B91021" w:rsidR="00340B08" w:rsidRPr="00B203A1" w:rsidRDefault="00340B08" w:rsidP="00340B08">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340B08" w:rsidRPr="00B203A1" w:rsidRDefault="00340B08" w:rsidP="00340B08">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340B08" w:rsidRPr="004F6B61" w14:paraId="558C355E" w14:textId="77777777" w:rsidTr="00AA73E9">
        <w:trPr>
          <w:jc w:val="center"/>
        </w:trPr>
        <w:tc>
          <w:tcPr>
            <w:tcW w:w="1996" w:type="dxa"/>
            <w:vMerge/>
            <w:vAlign w:val="center"/>
            <w:hideMark/>
          </w:tcPr>
          <w:p w14:paraId="5E63C2A3" w14:textId="77777777" w:rsidR="00340B08" w:rsidRPr="00DE080C" w:rsidRDefault="00340B08" w:rsidP="00340B08">
            <w:pPr>
              <w:rPr>
                <w:rFonts w:cstheme="minorHAnsi"/>
                <w:sz w:val="19"/>
                <w:szCs w:val="19"/>
                <w:highlight w:val="yellow"/>
                <w:lang w:val="es-CL" w:eastAsia="en-US"/>
              </w:rPr>
            </w:pPr>
          </w:p>
        </w:tc>
        <w:tc>
          <w:tcPr>
            <w:tcW w:w="9072" w:type="dxa"/>
            <w:vAlign w:val="center"/>
          </w:tcPr>
          <w:p w14:paraId="056291B4" w14:textId="5471EC4A" w:rsidR="00340B08" w:rsidRPr="00B203A1" w:rsidRDefault="00340B08" w:rsidP="00340B08">
            <w:pPr>
              <w:jc w:val="both"/>
              <w:rPr>
                <w:rFonts w:cstheme="minorHAnsi"/>
                <w:sz w:val="19"/>
                <w:szCs w:val="19"/>
              </w:rPr>
            </w:pPr>
            <w:r w:rsidRPr="0062422E">
              <w:rPr>
                <w:rFonts w:cstheme="minorHAnsi"/>
                <w:sz w:val="19"/>
                <w:szCs w:val="19"/>
              </w:rPr>
              <w:t>Empresas que desa</w:t>
            </w:r>
            <w:r w:rsidR="002E2813">
              <w:rPr>
                <w:rFonts w:cstheme="minorHAnsi"/>
                <w:sz w:val="19"/>
                <w:szCs w:val="19"/>
              </w:rPr>
              <w:t xml:space="preserve">rrollan actividades </w:t>
            </w:r>
            <w:r w:rsidRPr="0062422E">
              <w:rPr>
                <w:rFonts w:cstheme="minorHAnsi"/>
                <w:sz w:val="19"/>
                <w:szCs w:val="19"/>
              </w:rPr>
              <w:t xml:space="preserve"> económicas  primarias o extractivas.</w:t>
            </w:r>
          </w:p>
        </w:tc>
        <w:tc>
          <w:tcPr>
            <w:tcW w:w="850" w:type="dxa"/>
            <w:vAlign w:val="center"/>
          </w:tcPr>
          <w:p w14:paraId="317C5D2A" w14:textId="2E67DF2D" w:rsidR="00340B08" w:rsidRPr="00B203A1" w:rsidRDefault="00340B08" w:rsidP="00340B08">
            <w:pPr>
              <w:jc w:val="center"/>
              <w:rPr>
                <w:rFonts w:cstheme="minorHAnsi"/>
                <w:sz w:val="19"/>
                <w:szCs w:val="19"/>
                <w:lang w:val="es-CL" w:eastAsia="en-US"/>
              </w:rPr>
            </w:pPr>
            <w:r>
              <w:rPr>
                <w:rFonts w:cstheme="minorHAnsi"/>
                <w:sz w:val="19"/>
                <w:szCs w:val="19"/>
                <w:lang w:val="es-CL" w:eastAsia="en-US"/>
              </w:rPr>
              <w:t>4</w:t>
            </w:r>
          </w:p>
        </w:tc>
        <w:tc>
          <w:tcPr>
            <w:tcW w:w="1335" w:type="dxa"/>
            <w:vMerge/>
            <w:vAlign w:val="center"/>
            <w:hideMark/>
          </w:tcPr>
          <w:p w14:paraId="0B0EE5A2" w14:textId="77777777" w:rsidR="00340B08" w:rsidRPr="00B203A1" w:rsidRDefault="00340B08" w:rsidP="00340B08">
            <w:pPr>
              <w:rPr>
                <w:rFonts w:cstheme="minorHAnsi"/>
                <w:b/>
                <w:sz w:val="19"/>
                <w:szCs w:val="19"/>
                <w:lang w:val="es-CL" w:eastAsia="en-US"/>
              </w:rPr>
            </w:pPr>
          </w:p>
        </w:tc>
      </w:tr>
      <w:tr w:rsidR="00340B08" w:rsidRPr="004F6B61" w14:paraId="2DC86634" w14:textId="77777777" w:rsidTr="00340B08">
        <w:trPr>
          <w:trHeight w:val="1336"/>
          <w:jc w:val="center"/>
        </w:trPr>
        <w:tc>
          <w:tcPr>
            <w:tcW w:w="1996" w:type="dxa"/>
            <w:vMerge w:val="restart"/>
            <w:vAlign w:val="center"/>
            <w:hideMark/>
          </w:tcPr>
          <w:p w14:paraId="6D732D8D" w14:textId="0284BA2A" w:rsidR="00340B08" w:rsidRPr="00DE080C" w:rsidRDefault="00340B08" w:rsidP="00340B08">
            <w:pPr>
              <w:jc w:val="both"/>
              <w:rPr>
                <w:rFonts w:cstheme="minorHAnsi"/>
                <w:b/>
                <w:sz w:val="20"/>
                <w:szCs w:val="22"/>
                <w:highlight w:val="yellow"/>
                <w:lang w:val="es-CL" w:eastAsia="en-US"/>
              </w:rPr>
            </w:pPr>
            <w:r w:rsidRPr="00BD41A2">
              <w:rPr>
                <w:rFonts w:cstheme="minorHAnsi"/>
                <w:b/>
                <w:sz w:val="20"/>
                <w:szCs w:val="20"/>
              </w:rPr>
              <w:t xml:space="preserve">4. </w:t>
            </w:r>
            <w:r w:rsidRPr="00340B08">
              <w:rPr>
                <w:rFonts w:eastAsia="Arial Unicode MS" w:cs="Arial"/>
                <w:b/>
                <w:bCs/>
                <w:sz w:val="20"/>
                <w:szCs w:val="18"/>
              </w:rPr>
              <w:t>Empresas con domicilio comercial según carpeta tributaria del SII en la región del Biobío en comunas con  50.000 o menos habitantes según Censo del año 2017.</w:t>
            </w:r>
          </w:p>
        </w:tc>
        <w:tc>
          <w:tcPr>
            <w:tcW w:w="9072" w:type="dxa"/>
            <w:vAlign w:val="center"/>
          </w:tcPr>
          <w:p w14:paraId="76A771A8" w14:textId="6FE95529" w:rsidR="00340B08" w:rsidRPr="00EC5053" w:rsidRDefault="00340B08" w:rsidP="00340B08">
            <w:pPr>
              <w:jc w:val="both"/>
              <w:rPr>
                <w:rFonts w:cstheme="minorHAnsi"/>
                <w:sz w:val="20"/>
              </w:rPr>
            </w:pPr>
            <w:r>
              <w:rPr>
                <w:rFonts w:cstheme="minorHAnsi"/>
                <w:sz w:val="20"/>
              </w:rPr>
              <w:t xml:space="preserve">La empresa tiene domicilio comercial según carpeta tributaria del SII en la región </w:t>
            </w:r>
            <w:r w:rsidRPr="00BD41A2">
              <w:rPr>
                <w:rFonts w:eastAsia="Arial Unicode MS" w:cs="Arial"/>
                <w:bCs/>
                <w:sz w:val="20"/>
                <w:szCs w:val="18"/>
              </w:rPr>
              <w:t>del Biobío en comunas con  50.000 o menos habitantes según Censo del año 2017</w:t>
            </w:r>
          </w:p>
        </w:tc>
        <w:tc>
          <w:tcPr>
            <w:tcW w:w="850" w:type="dxa"/>
            <w:vAlign w:val="center"/>
          </w:tcPr>
          <w:p w14:paraId="10C03F7B" w14:textId="014FA5E8" w:rsidR="00340B08" w:rsidRPr="00EC5053" w:rsidRDefault="00340B08" w:rsidP="00340B08">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340B08" w:rsidRPr="00B203A1" w:rsidRDefault="00340B08" w:rsidP="00340B08">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340B08" w:rsidRPr="004F6B61" w14:paraId="239B34C1" w14:textId="77777777" w:rsidTr="00AA73E9">
        <w:trPr>
          <w:jc w:val="center"/>
        </w:trPr>
        <w:tc>
          <w:tcPr>
            <w:tcW w:w="1996" w:type="dxa"/>
            <w:vMerge/>
            <w:vAlign w:val="center"/>
            <w:hideMark/>
          </w:tcPr>
          <w:p w14:paraId="7C0596DA" w14:textId="77777777" w:rsidR="00340B08" w:rsidRPr="00EC5053" w:rsidRDefault="00340B08" w:rsidP="00340B08">
            <w:pPr>
              <w:rPr>
                <w:rFonts w:cstheme="minorHAnsi"/>
                <w:sz w:val="20"/>
                <w:szCs w:val="22"/>
                <w:lang w:val="es-CL" w:eastAsia="en-US"/>
              </w:rPr>
            </w:pPr>
          </w:p>
        </w:tc>
        <w:tc>
          <w:tcPr>
            <w:tcW w:w="9072" w:type="dxa"/>
            <w:vAlign w:val="center"/>
          </w:tcPr>
          <w:p w14:paraId="7D7931B6" w14:textId="6574ECB2" w:rsidR="00340B08" w:rsidRPr="00EC5053" w:rsidRDefault="00340B08" w:rsidP="00340B08">
            <w:pPr>
              <w:jc w:val="both"/>
              <w:rPr>
                <w:rFonts w:cstheme="minorHAnsi"/>
                <w:sz w:val="20"/>
              </w:rPr>
            </w:pPr>
            <w:r>
              <w:rPr>
                <w:rFonts w:cstheme="minorHAnsi"/>
                <w:sz w:val="20"/>
              </w:rPr>
              <w:t xml:space="preserve">La empresa tiene domicilio comercial según carpeta tributaria del SII en la región </w:t>
            </w:r>
            <w:r w:rsidRPr="00BD41A2">
              <w:rPr>
                <w:rFonts w:eastAsia="Arial Unicode MS" w:cs="Arial"/>
                <w:bCs/>
                <w:sz w:val="20"/>
                <w:szCs w:val="18"/>
              </w:rPr>
              <w:t xml:space="preserve">del Biobío en comunas con  </w:t>
            </w:r>
            <w:r>
              <w:rPr>
                <w:rFonts w:eastAsia="Arial Unicode MS" w:cs="Arial"/>
                <w:bCs/>
                <w:sz w:val="20"/>
                <w:szCs w:val="18"/>
              </w:rPr>
              <w:t>más de 50.000 habitantes</w:t>
            </w:r>
            <w:r w:rsidRPr="00BD41A2">
              <w:rPr>
                <w:rFonts w:eastAsia="Arial Unicode MS" w:cs="Arial"/>
                <w:bCs/>
                <w:sz w:val="20"/>
                <w:szCs w:val="18"/>
              </w:rPr>
              <w:t xml:space="preserve"> según Censo del año 2017</w:t>
            </w:r>
          </w:p>
        </w:tc>
        <w:tc>
          <w:tcPr>
            <w:tcW w:w="850" w:type="dxa"/>
            <w:vAlign w:val="center"/>
          </w:tcPr>
          <w:p w14:paraId="2D751186" w14:textId="483335E8" w:rsidR="00340B08" w:rsidRPr="00EC5053" w:rsidRDefault="00340B08" w:rsidP="00340B08">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7F2E05A3" w14:textId="77777777" w:rsidR="00340B08" w:rsidRPr="00EC5053" w:rsidRDefault="00340B08" w:rsidP="00340B08">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9750A" w14:textId="77777777" w:rsidR="00F23357" w:rsidRDefault="00F23357" w:rsidP="0042236C">
      <w:r>
        <w:separator/>
      </w:r>
    </w:p>
  </w:endnote>
  <w:endnote w:type="continuationSeparator" w:id="0">
    <w:p w14:paraId="2A04B5AB" w14:textId="77777777" w:rsidR="00F23357" w:rsidRDefault="00F2335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3EEFE89E" w:rsidR="006B2322" w:rsidRPr="00BD14F7" w:rsidRDefault="006B2322">
    <w:pPr>
      <w:pStyle w:val="Piedepgina"/>
      <w:jc w:val="right"/>
    </w:pPr>
    <w:r w:rsidRPr="00BD14F7">
      <w:fldChar w:fldCharType="begin"/>
    </w:r>
    <w:r w:rsidRPr="00BD14F7">
      <w:instrText>PAGE   \* MERGEFORMAT</w:instrText>
    </w:r>
    <w:r w:rsidRPr="00BD14F7">
      <w:fldChar w:fldCharType="separate"/>
    </w:r>
    <w:r w:rsidR="00EF13D8">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C2D3" w14:textId="77777777" w:rsidR="00F23357" w:rsidRDefault="00F23357"/>
  </w:footnote>
  <w:footnote w:type="continuationSeparator" w:id="0">
    <w:p w14:paraId="376A952B" w14:textId="77777777" w:rsidR="00F23357" w:rsidRDefault="00F23357"/>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B742D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5"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20"/>
  </w:num>
  <w:num w:numId="5">
    <w:abstractNumId w:val="5"/>
  </w:num>
  <w:num w:numId="6">
    <w:abstractNumId w:val="7"/>
  </w:num>
  <w:num w:numId="7">
    <w:abstractNumId w:val="22"/>
  </w:num>
  <w:num w:numId="8">
    <w:abstractNumId w:val="13"/>
  </w:num>
  <w:num w:numId="9">
    <w:abstractNumId w:val="12"/>
  </w:num>
  <w:num w:numId="10">
    <w:abstractNumId w:val="6"/>
  </w:num>
  <w:num w:numId="11">
    <w:abstractNumId w:val="24"/>
  </w:num>
  <w:num w:numId="12">
    <w:abstractNumId w:val="23"/>
  </w:num>
  <w:num w:numId="13">
    <w:abstractNumId w:val="8"/>
  </w:num>
  <w:num w:numId="14">
    <w:abstractNumId w:val="9"/>
  </w:num>
  <w:num w:numId="15">
    <w:abstractNumId w:val="14"/>
  </w:num>
  <w:num w:numId="16">
    <w:abstractNumId w:val="4"/>
  </w:num>
  <w:num w:numId="17">
    <w:abstractNumId w:val="2"/>
  </w:num>
  <w:num w:numId="18">
    <w:abstractNumId w:val="18"/>
  </w:num>
  <w:num w:numId="19">
    <w:abstractNumId w:val="15"/>
  </w:num>
  <w:num w:numId="20">
    <w:abstractNumId w:val="3"/>
  </w:num>
  <w:num w:numId="21">
    <w:abstractNumId w:val="21"/>
  </w:num>
  <w:num w:numId="22">
    <w:abstractNumId w:val="11"/>
  </w:num>
  <w:num w:numId="23">
    <w:abstractNumId w:val="17"/>
  </w:num>
  <w:num w:numId="24">
    <w:abstractNumId w:val="10"/>
  </w:num>
  <w:num w:numId="2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3BEB"/>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49EC"/>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1E"/>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2813"/>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51FA"/>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B08"/>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62A8"/>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781"/>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3025"/>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11E"/>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8DC"/>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0C"/>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2C74"/>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13D8"/>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AA8"/>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357"/>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rodrigo.valdiviala@gmail.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BB4BC31-E7E1-4B03-9F99-DEBDB09B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13583</Words>
  <Characters>74712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88119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43</cp:revision>
  <cp:lastPrinted>2021-08-17T23:14:00Z</cp:lastPrinted>
  <dcterms:created xsi:type="dcterms:W3CDTF">2021-08-16T02:27:00Z</dcterms:created>
  <dcterms:modified xsi:type="dcterms:W3CDTF">2021-08-17T23:15:00Z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