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0E04ED03"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00CC0DC0">
        <w:rPr>
          <w:rFonts w:eastAsia="Arial Unicode MS" w:cs="Arial"/>
          <w:b/>
          <w:bCs/>
          <w:sz w:val="40"/>
          <w:szCs w:val="40"/>
        </w:rPr>
        <w:t>DEL LIBERTADOR BERNARDO O´HIGGINS</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3D356388"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w:t>
            </w:r>
            <w:r w:rsidR="00191A0C" w:rsidRPr="00191A0C">
              <w:rPr>
                <w:noProof/>
                <w:webHidden/>
                <w:sz w:val="18"/>
                <w:szCs w:val="18"/>
              </w:rPr>
              <w:fldChar w:fldCharType="end"/>
            </w:r>
          </w:hyperlink>
        </w:p>
        <w:p w14:paraId="1DDCEA44" w14:textId="7F35E75F"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w:t>
            </w:r>
            <w:r w:rsidR="00191A0C" w:rsidRPr="00191A0C">
              <w:rPr>
                <w:noProof/>
                <w:webHidden/>
                <w:sz w:val="18"/>
                <w:szCs w:val="18"/>
              </w:rPr>
              <w:fldChar w:fldCharType="end"/>
            </w:r>
          </w:hyperlink>
        </w:p>
        <w:p w14:paraId="3F13E50E" w14:textId="3A72A569"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4</w:t>
            </w:r>
            <w:r w:rsidR="00191A0C" w:rsidRPr="00191A0C">
              <w:rPr>
                <w:noProof/>
                <w:webHidden/>
                <w:sz w:val="18"/>
                <w:szCs w:val="18"/>
              </w:rPr>
              <w:fldChar w:fldCharType="end"/>
            </w:r>
          </w:hyperlink>
        </w:p>
        <w:p w14:paraId="79472652" w14:textId="4AEB4344"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4</w:t>
            </w:r>
            <w:r w:rsidR="00191A0C" w:rsidRPr="00191A0C">
              <w:rPr>
                <w:noProof/>
                <w:webHidden/>
                <w:sz w:val="18"/>
                <w:szCs w:val="18"/>
              </w:rPr>
              <w:fldChar w:fldCharType="end"/>
            </w:r>
          </w:hyperlink>
        </w:p>
        <w:p w14:paraId="399608A2" w14:textId="1A7B0DA0"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5</w:t>
            </w:r>
            <w:r w:rsidR="00191A0C" w:rsidRPr="00191A0C">
              <w:rPr>
                <w:noProof/>
                <w:webHidden/>
                <w:sz w:val="18"/>
                <w:szCs w:val="18"/>
              </w:rPr>
              <w:fldChar w:fldCharType="end"/>
            </w:r>
          </w:hyperlink>
        </w:p>
        <w:p w14:paraId="4BD5F79B" w14:textId="77452AF2"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5</w:t>
            </w:r>
            <w:r w:rsidR="00191A0C" w:rsidRPr="00191A0C">
              <w:rPr>
                <w:noProof/>
                <w:webHidden/>
                <w:sz w:val="18"/>
                <w:szCs w:val="18"/>
              </w:rPr>
              <w:fldChar w:fldCharType="end"/>
            </w:r>
          </w:hyperlink>
        </w:p>
        <w:p w14:paraId="6A88DD75" w14:textId="5E800BC8"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8</w:t>
            </w:r>
            <w:r w:rsidR="00191A0C" w:rsidRPr="00191A0C">
              <w:rPr>
                <w:noProof/>
                <w:webHidden/>
                <w:sz w:val="18"/>
                <w:szCs w:val="18"/>
              </w:rPr>
              <w:fldChar w:fldCharType="end"/>
            </w:r>
          </w:hyperlink>
        </w:p>
        <w:p w14:paraId="1FA4BDC7" w14:textId="3777A9A1"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10</w:t>
            </w:r>
            <w:r w:rsidR="00191A0C" w:rsidRPr="00191A0C">
              <w:rPr>
                <w:noProof/>
                <w:webHidden/>
                <w:sz w:val="18"/>
                <w:szCs w:val="18"/>
              </w:rPr>
              <w:fldChar w:fldCharType="end"/>
            </w:r>
          </w:hyperlink>
        </w:p>
        <w:p w14:paraId="0E1140D4" w14:textId="263C0DEF"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11</w:t>
            </w:r>
            <w:r w:rsidR="00191A0C" w:rsidRPr="00191A0C">
              <w:rPr>
                <w:noProof/>
                <w:webHidden/>
                <w:sz w:val="18"/>
                <w:szCs w:val="18"/>
              </w:rPr>
              <w:fldChar w:fldCharType="end"/>
            </w:r>
          </w:hyperlink>
        </w:p>
        <w:p w14:paraId="46F0CE12" w14:textId="14FD2ED8"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12</w:t>
            </w:r>
            <w:r w:rsidR="00191A0C" w:rsidRPr="00191A0C">
              <w:rPr>
                <w:noProof/>
                <w:webHidden/>
                <w:sz w:val="18"/>
                <w:szCs w:val="18"/>
              </w:rPr>
              <w:fldChar w:fldCharType="end"/>
            </w:r>
          </w:hyperlink>
        </w:p>
        <w:p w14:paraId="1F1E6634" w14:textId="44ACCC55"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12</w:t>
            </w:r>
            <w:r w:rsidR="00191A0C" w:rsidRPr="00191A0C">
              <w:rPr>
                <w:noProof/>
                <w:webHidden/>
                <w:sz w:val="18"/>
                <w:szCs w:val="18"/>
              </w:rPr>
              <w:fldChar w:fldCharType="end"/>
            </w:r>
          </w:hyperlink>
        </w:p>
        <w:p w14:paraId="6C438E50" w14:textId="3C475C90"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12</w:t>
            </w:r>
            <w:r w:rsidR="00191A0C" w:rsidRPr="00191A0C">
              <w:rPr>
                <w:noProof/>
                <w:webHidden/>
                <w:sz w:val="18"/>
                <w:szCs w:val="18"/>
              </w:rPr>
              <w:fldChar w:fldCharType="end"/>
            </w:r>
          </w:hyperlink>
        </w:p>
        <w:p w14:paraId="76B78074" w14:textId="7576276F"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16</w:t>
            </w:r>
            <w:r w:rsidR="00191A0C" w:rsidRPr="00191A0C">
              <w:rPr>
                <w:noProof/>
                <w:webHidden/>
                <w:sz w:val="18"/>
                <w:szCs w:val="18"/>
              </w:rPr>
              <w:fldChar w:fldCharType="end"/>
            </w:r>
          </w:hyperlink>
        </w:p>
        <w:p w14:paraId="78C7E9D5" w14:textId="52AB5484"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16</w:t>
            </w:r>
            <w:r w:rsidR="00191A0C" w:rsidRPr="00191A0C">
              <w:rPr>
                <w:noProof/>
                <w:webHidden/>
                <w:sz w:val="18"/>
                <w:szCs w:val="18"/>
              </w:rPr>
              <w:fldChar w:fldCharType="end"/>
            </w:r>
          </w:hyperlink>
        </w:p>
        <w:p w14:paraId="28628EC9" w14:textId="2A45E76A"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16</w:t>
            </w:r>
            <w:r w:rsidR="00191A0C" w:rsidRPr="00191A0C">
              <w:rPr>
                <w:noProof/>
                <w:webHidden/>
                <w:sz w:val="18"/>
                <w:szCs w:val="18"/>
              </w:rPr>
              <w:fldChar w:fldCharType="end"/>
            </w:r>
          </w:hyperlink>
        </w:p>
        <w:p w14:paraId="680C78FA" w14:textId="06995D7C"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17</w:t>
            </w:r>
            <w:r w:rsidR="00191A0C" w:rsidRPr="00191A0C">
              <w:rPr>
                <w:noProof/>
                <w:webHidden/>
                <w:sz w:val="18"/>
                <w:szCs w:val="18"/>
              </w:rPr>
              <w:fldChar w:fldCharType="end"/>
            </w:r>
          </w:hyperlink>
        </w:p>
        <w:p w14:paraId="418A055B" w14:textId="592B41B6"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17</w:t>
            </w:r>
            <w:r w:rsidR="00191A0C" w:rsidRPr="00191A0C">
              <w:rPr>
                <w:noProof/>
                <w:webHidden/>
                <w:sz w:val="18"/>
                <w:szCs w:val="18"/>
              </w:rPr>
              <w:fldChar w:fldCharType="end"/>
            </w:r>
          </w:hyperlink>
        </w:p>
        <w:p w14:paraId="66FC5B88" w14:textId="3EBDC468"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18</w:t>
            </w:r>
            <w:r w:rsidR="00191A0C" w:rsidRPr="00191A0C">
              <w:rPr>
                <w:noProof/>
                <w:webHidden/>
                <w:sz w:val="18"/>
                <w:szCs w:val="18"/>
              </w:rPr>
              <w:fldChar w:fldCharType="end"/>
            </w:r>
          </w:hyperlink>
        </w:p>
        <w:p w14:paraId="7A506AB0" w14:textId="42A284E0"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21</w:t>
            </w:r>
            <w:r w:rsidR="00191A0C" w:rsidRPr="00191A0C">
              <w:rPr>
                <w:noProof/>
                <w:webHidden/>
                <w:sz w:val="18"/>
                <w:szCs w:val="18"/>
              </w:rPr>
              <w:fldChar w:fldCharType="end"/>
            </w:r>
          </w:hyperlink>
        </w:p>
        <w:p w14:paraId="7A19CC8F" w14:textId="1FA9B705"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21</w:t>
            </w:r>
            <w:r w:rsidR="00191A0C" w:rsidRPr="00191A0C">
              <w:rPr>
                <w:noProof/>
                <w:webHidden/>
                <w:sz w:val="18"/>
                <w:szCs w:val="18"/>
              </w:rPr>
              <w:fldChar w:fldCharType="end"/>
            </w:r>
          </w:hyperlink>
        </w:p>
        <w:p w14:paraId="4AC97612" w14:textId="2A979F72"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23</w:t>
            </w:r>
            <w:r w:rsidR="00191A0C" w:rsidRPr="00191A0C">
              <w:rPr>
                <w:noProof/>
                <w:webHidden/>
                <w:sz w:val="18"/>
                <w:szCs w:val="18"/>
              </w:rPr>
              <w:fldChar w:fldCharType="end"/>
            </w:r>
          </w:hyperlink>
        </w:p>
        <w:p w14:paraId="2DC36E93" w14:textId="19BE0F39"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27</w:t>
            </w:r>
            <w:r w:rsidR="00191A0C" w:rsidRPr="00191A0C">
              <w:rPr>
                <w:noProof/>
                <w:webHidden/>
                <w:sz w:val="18"/>
                <w:szCs w:val="18"/>
              </w:rPr>
              <w:fldChar w:fldCharType="end"/>
            </w:r>
          </w:hyperlink>
        </w:p>
        <w:p w14:paraId="3D75D5AB" w14:textId="0996DA4B"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30</w:t>
            </w:r>
            <w:r w:rsidR="00191A0C" w:rsidRPr="00191A0C">
              <w:rPr>
                <w:noProof/>
                <w:webHidden/>
                <w:sz w:val="18"/>
                <w:szCs w:val="18"/>
              </w:rPr>
              <w:fldChar w:fldCharType="end"/>
            </w:r>
          </w:hyperlink>
        </w:p>
        <w:p w14:paraId="6C92D9E9" w14:textId="76327EAA"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30</w:t>
            </w:r>
            <w:r w:rsidR="00191A0C" w:rsidRPr="00191A0C">
              <w:rPr>
                <w:noProof/>
                <w:webHidden/>
                <w:sz w:val="18"/>
                <w:szCs w:val="18"/>
              </w:rPr>
              <w:fldChar w:fldCharType="end"/>
            </w:r>
          </w:hyperlink>
        </w:p>
        <w:p w14:paraId="58BEA2D9" w14:textId="5197F560" w:rsidR="00191A0C" w:rsidRPr="00191A0C" w:rsidRDefault="005A19F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31</w:t>
            </w:r>
            <w:r w:rsidR="00191A0C" w:rsidRPr="00191A0C">
              <w:rPr>
                <w:noProof/>
                <w:webHidden/>
                <w:sz w:val="18"/>
                <w:szCs w:val="18"/>
              </w:rPr>
              <w:fldChar w:fldCharType="end"/>
            </w:r>
          </w:hyperlink>
        </w:p>
        <w:p w14:paraId="247A4B8E" w14:textId="75B19C95"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33</w:t>
            </w:r>
            <w:r w:rsidR="00191A0C" w:rsidRPr="00191A0C">
              <w:rPr>
                <w:noProof/>
                <w:webHidden/>
                <w:sz w:val="18"/>
                <w:szCs w:val="18"/>
              </w:rPr>
              <w:fldChar w:fldCharType="end"/>
            </w:r>
          </w:hyperlink>
        </w:p>
        <w:p w14:paraId="02B14F92" w14:textId="4D877B74"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36</w:t>
            </w:r>
            <w:r w:rsidR="00191A0C" w:rsidRPr="00191A0C">
              <w:rPr>
                <w:noProof/>
                <w:webHidden/>
                <w:sz w:val="18"/>
                <w:szCs w:val="18"/>
              </w:rPr>
              <w:fldChar w:fldCharType="end"/>
            </w:r>
          </w:hyperlink>
        </w:p>
        <w:p w14:paraId="6746445E" w14:textId="2706ED7E"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40</w:t>
            </w:r>
            <w:r w:rsidR="00191A0C" w:rsidRPr="00191A0C">
              <w:rPr>
                <w:noProof/>
                <w:webHidden/>
                <w:sz w:val="18"/>
                <w:szCs w:val="18"/>
              </w:rPr>
              <w:fldChar w:fldCharType="end"/>
            </w:r>
          </w:hyperlink>
        </w:p>
        <w:p w14:paraId="0DB9AA10" w14:textId="4366CCBF"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49</w:t>
            </w:r>
            <w:r w:rsidR="00191A0C" w:rsidRPr="00191A0C">
              <w:rPr>
                <w:noProof/>
                <w:webHidden/>
                <w:sz w:val="18"/>
                <w:szCs w:val="18"/>
              </w:rPr>
              <w:fldChar w:fldCharType="end"/>
            </w:r>
          </w:hyperlink>
        </w:p>
        <w:p w14:paraId="26BDDF1D" w14:textId="3227026B"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50</w:t>
            </w:r>
            <w:r w:rsidR="00191A0C" w:rsidRPr="00191A0C">
              <w:rPr>
                <w:noProof/>
                <w:webHidden/>
                <w:sz w:val="18"/>
                <w:szCs w:val="18"/>
              </w:rPr>
              <w:fldChar w:fldCharType="end"/>
            </w:r>
          </w:hyperlink>
        </w:p>
        <w:p w14:paraId="5D2510F5" w14:textId="478E6DB6"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51</w:t>
            </w:r>
            <w:r w:rsidR="00191A0C" w:rsidRPr="00191A0C">
              <w:rPr>
                <w:noProof/>
                <w:webHidden/>
                <w:sz w:val="18"/>
                <w:szCs w:val="18"/>
              </w:rPr>
              <w:fldChar w:fldCharType="end"/>
            </w:r>
          </w:hyperlink>
        </w:p>
        <w:p w14:paraId="72087465" w14:textId="7A1E00F5"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54</w:t>
            </w:r>
            <w:r w:rsidR="00191A0C" w:rsidRPr="00191A0C">
              <w:rPr>
                <w:noProof/>
                <w:webHidden/>
                <w:sz w:val="18"/>
                <w:szCs w:val="18"/>
              </w:rPr>
              <w:fldChar w:fldCharType="end"/>
            </w:r>
          </w:hyperlink>
        </w:p>
        <w:p w14:paraId="49664E63" w14:textId="6C1B26DA"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61</w:t>
            </w:r>
            <w:r w:rsidR="00191A0C" w:rsidRPr="00191A0C">
              <w:rPr>
                <w:noProof/>
                <w:webHidden/>
                <w:sz w:val="18"/>
                <w:szCs w:val="18"/>
              </w:rPr>
              <w:fldChar w:fldCharType="end"/>
            </w:r>
          </w:hyperlink>
        </w:p>
        <w:p w14:paraId="74DA0401" w14:textId="2E97613F" w:rsidR="00191A0C" w:rsidRPr="00191A0C" w:rsidRDefault="005A19F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BE699A">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639E49C1"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5</w:t>
      </w:r>
      <w:r w:rsidR="00CC0DC0">
        <w:t>1</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BCCBD3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2C2126">
        <w:rPr>
          <w:rFonts w:eastAsia="Arial Unicode MS" w:cs="Arial"/>
          <w:szCs w:val="22"/>
          <w:lang w:val="es-CL"/>
        </w:rPr>
        <w:t>l Libertador Bernardo O´Higgins</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de l</w:t>
      </w:r>
      <w:r w:rsidRPr="00C55F56">
        <w:rPr>
          <w:rFonts w:cs="Arial"/>
          <w:szCs w:val="22"/>
          <w:lang w:val="es-CL"/>
        </w:rPr>
        <w:t xml:space="preserve">as </w:t>
      </w:r>
      <w:r w:rsidR="000D3A4B" w:rsidRPr="00C55F56">
        <w:rPr>
          <w:rFonts w:cs="Arial"/>
          <w:b/>
          <w:szCs w:val="22"/>
          <w:lang w:val="es-CL"/>
        </w:rPr>
        <w:t>12</w:t>
      </w:r>
      <w:r w:rsidR="00901638" w:rsidRPr="00C55F56">
        <w:rPr>
          <w:rFonts w:cs="Arial"/>
          <w:b/>
          <w:szCs w:val="22"/>
          <w:lang w:val="es-CL"/>
        </w:rPr>
        <w:t>:</w:t>
      </w:r>
      <w:r w:rsidR="000D3A4B" w:rsidRPr="00DE2152">
        <w:rPr>
          <w:rFonts w:cs="Arial"/>
          <w:b/>
          <w:szCs w:val="22"/>
          <w:lang w:val="es-CL"/>
        </w:rPr>
        <w:t>00</w:t>
      </w:r>
      <w:r w:rsidRPr="00DE2152">
        <w:rPr>
          <w:rFonts w:cs="Arial"/>
          <w:szCs w:val="22"/>
          <w:lang w:val="es-CL"/>
        </w:rPr>
        <w:t xml:space="preserve"> h</w:t>
      </w:r>
      <w:r w:rsidR="00B365B5" w:rsidRPr="00DE2152">
        <w:rPr>
          <w:rFonts w:cs="Arial"/>
          <w:szCs w:val="22"/>
          <w:lang w:val="es-CL"/>
        </w:rPr>
        <w:t>oras</w:t>
      </w:r>
      <w:r w:rsidR="00B365B5" w:rsidRPr="00DE2152">
        <w:rPr>
          <w:rFonts w:cs="Arial"/>
          <w:b/>
          <w:szCs w:val="22"/>
          <w:lang w:val="es-CL"/>
        </w:rPr>
        <w:t xml:space="preserve"> </w:t>
      </w:r>
      <w:r w:rsidRPr="00DE2152">
        <w:rPr>
          <w:rFonts w:cs="Arial"/>
          <w:szCs w:val="22"/>
          <w:lang w:val="es-CL"/>
        </w:rPr>
        <w:t>del día</w:t>
      </w:r>
      <w:r w:rsidR="009F0C46" w:rsidRPr="00DE2152">
        <w:rPr>
          <w:rFonts w:cs="Arial"/>
          <w:szCs w:val="22"/>
          <w:lang w:val="es-CL"/>
        </w:rPr>
        <w:t xml:space="preserve"> </w:t>
      </w:r>
      <w:r w:rsidR="00E60BAC" w:rsidRPr="00DE2152">
        <w:rPr>
          <w:rFonts w:cs="Arial"/>
          <w:b/>
          <w:szCs w:val="22"/>
          <w:lang w:val="es-CL"/>
        </w:rPr>
        <w:t>26</w:t>
      </w:r>
      <w:r w:rsidR="007B017C" w:rsidRPr="00DE2152">
        <w:rPr>
          <w:rFonts w:cs="Arial"/>
          <w:b/>
          <w:szCs w:val="22"/>
          <w:lang w:val="es-CL"/>
        </w:rPr>
        <w:t xml:space="preserve"> </w:t>
      </w:r>
      <w:r w:rsidR="00C3640F" w:rsidRPr="00DE2152">
        <w:rPr>
          <w:rFonts w:cs="Arial"/>
          <w:szCs w:val="22"/>
          <w:lang w:val="es-CL"/>
        </w:rPr>
        <w:t xml:space="preserve">de </w:t>
      </w:r>
      <w:r w:rsidR="00B75FC7" w:rsidRPr="00DE2152">
        <w:rPr>
          <w:rFonts w:cs="Arial"/>
          <w:b/>
          <w:szCs w:val="22"/>
          <w:lang w:val="es-CL"/>
        </w:rPr>
        <w:t>jul</w:t>
      </w:r>
      <w:r w:rsidR="00760CDA" w:rsidRPr="00DE2152">
        <w:rPr>
          <w:rFonts w:cs="Arial"/>
          <w:b/>
          <w:szCs w:val="22"/>
          <w:lang w:val="es-CL"/>
        </w:rPr>
        <w:t>io</w:t>
      </w:r>
      <w:r w:rsidR="008B1E0C" w:rsidRPr="00DE2152">
        <w:rPr>
          <w:rFonts w:cs="Arial"/>
          <w:b/>
          <w:szCs w:val="22"/>
          <w:lang w:val="es-CL"/>
        </w:rPr>
        <w:t xml:space="preserve"> </w:t>
      </w:r>
      <w:r w:rsidRPr="00DE2152">
        <w:rPr>
          <w:rFonts w:cs="Arial"/>
          <w:szCs w:val="22"/>
          <w:lang w:val="es-CL"/>
        </w:rPr>
        <w:t xml:space="preserve">de </w:t>
      </w:r>
      <w:r w:rsidR="0050140A" w:rsidRPr="00DE2152">
        <w:rPr>
          <w:rFonts w:cs="Arial"/>
          <w:szCs w:val="22"/>
          <w:lang w:val="es-CL"/>
        </w:rPr>
        <w:t>20</w:t>
      </w:r>
      <w:r w:rsidR="00B60A6F" w:rsidRPr="00DE2152">
        <w:rPr>
          <w:rFonts w:cs="Arial"/>
          <w:szCs w:val="22"/>
          <w:lang w:val="es-CL"/>
        </w:rPr>
        <w:t>22</w:t>
      </w:r>
      <w:r w:rsidRPr="00DE2152">
        <w:rPr>
          <w:rFonts w:cs="Arial"/>
          <w:szCs w:val="22"/>
          <w:lang w:val="es-CL"/>
        </w:rPr>
        <w:t xml:space="preserve"> hasta las </w:t>
      </w:r>
      <w:r w:rsidR="00CB0B69" w:rsidRPr="00DE2152">
        <w:rPr>
          <w:rFonts w:cs="Arial"/>
          <w:b/>
          <w:szCs w:val="22"/>
          <w:lang w:val="es-CL"/>
        </w:rPr>
        <w:t>15</w:t>
      </w:r>
      <w:r w:rsidRPr="00DE2152">
        <w:rPr>
          <w:rFonts w:cs="Arial"/>
          <w:b/>
          <w:szCs w:val="22"/>
          <w:lang w:val="es-CL"/>
        </w:rPr>
        <w:t>:</w:t>
      </w:r>
      <w:r w:rsidR="000D3A4B" w:rsidRPr="00DE2152">
        <w:rPr>
          <w:rFonts w:cs="Arial"/>
          <w:b/>
          <w:szCs w:val="22"/>
          <w:lang w:val="es-CL"/>
        </w:rPr>
        <w:t>00</w:t>
      </w:r>
      <w:r w:rsidRPr="00DE2152">
        <w:rPr>
          <w:rFonts w:cs="Arial"/>
          <w:szCs w:val="22"/>
          <w:lang w:val="es-CL"/>
        </w:rPr>
        <w:t xml:space="preserve"> h</w:t>
      </w:r>
      <w:r w:rsidR="00B365B5" w:rsidRPr="00DE2152">
        <w:rPr>
          <w:rFonts w:cs="Arial"/>
          <w:szCs w:val="22"/>
          <w:lang w:val="es-CL"/>
        </w:rPr>
        <w:t>oras</w:t>
      </w:r>
      <w:r w:rsidR="00FF6D26" w:rsidRPr="00DE2152">
        <w:rPr>
          <w:rFonts w:cs="Arial"/>
          <w:szCs w:val="22"/>
          <w:lang w:val="es-CL"/>
        </w:rPr>
        <w:t xml:space="preserve"> </w:t>
      </w:r>
      <w:r w:rsidRPr="00DE2152">
        <w:rPr>
          <w:rFonts w:cs="Arial"/>
          <w:szCs w:val="22"/>
          <w:lang w:val="es-CL"/>
        </w:rPr>
        <w:t xml:space="preserve">del </w:t>
      </w:r>
      <w:r w:rsidR="004B6B61" w:rsidRPr="00DE2152">
        <w:rPr>
          <w:rFonts w:cs="Arial"/>
          <w:szCs w:val="22"/>
          <w:lang w:val="es-CL"/>
        </w:rPr>
        <w:t xml:space="preserve">día </w:t>
      </w:r>
      <w:r w:rsidR="001D152B" w:rsidRPr="00DE2152">
        <w:rPr>
          <w:rFonts w:cs="Arial"/>
          <w:b/>
          <w:szCs w:val="22"/>
          <w:lang w:val="es-CL"/>
        </w:rPr>
        <w:t>11</w:t>
      </w:r>
      <w:r w:rsidR="006E51D0" w:rsidRPr="00DE2152">
        <w:rPr>
          <w:rFonts w:cs="Arial"/>
          <w:b/>
          <w:szCs w:val="22"/>
          <w:lang w:val="es-CL"/>
        </w:rPr>
        <w:t xml:space="preserve"> </w:t>
      </w:r>
      <w:r w:rsidR="006E51D0" w:rsidRPr="00DE2152">
        <w:rPr>
          <w:rFonts w:cs="Arial"/>
          <w:szCs w:val="22"/>
          <w:lang w:val="es-CL"/>
        </w:rPr>
        <w:t xml:space="preserve">de </w:t>
      </w:r>
      <w:r w:rsidR="00B75FC7" w:rsidRPr="00DE2152">
        <w:rPr>
          <w:rFonts w:cs="Arial"/>
          <w:b/>
          <w:szCs w:val="22"/>
          <w:lang w:val="es-CL"/>
        </w:rPr>
        <w:t>agosto</w:t>
      </w:r>
      <w:r w:rsidR="00901638" w:rsidRPr="00DE2152">
        <w:rPr>
          <w:rFonts w:cs="Arial"/>
          <w:b/>
          <w:szCs w:val="22"/>
          <w:lang w:val="es-CL"/>
        </w:rPr>
        <w:t xml:space="preserve"> </w:t>
      </w:r>
      <w:r w:rsidR="00C73BC1" w:rsidRPr="00DE2152">
        <w:rPr>
          <w:rFonts w:cs="Arial"/>
          <w:szCs w:val="22"/>
          <w:lang w:val="es-CL"/>
        </w:rPr>
        <w:t>de</w:t>
      </w:r>
      <w:r w:rsidRPr="00DE2152">
        <w:rPr>
          <w:rFonts w:cs="Arial"/>
          <w:szCs w:val="22"/>
          <w:lang w:val="es-CL"/>
        </w:rPr>
        <w:t xml:space="preserve"> </w:t>
      </w:r>
      <w:r w:rsidR="0050140A" w:rsidRPr="00DE2152">
        <w:rPr>
          <w:rFonts w:cs="Arial"/>
          <w:szCs w:val="22"/>
          <w:lang w:val="es-CL"/>
        </w:rPr>
        <w:t>20</w:t>
      </w:r>
      <w:r w:rsidR="00B60A6F" w:rsidRPr="00DE2152">
        <w:rPr>
          <w:rFonts w:cs="Arial"/>
          <w:szCs w:val="22"/>
          <w:lang w:val="es-CL"/>
        </w:rPr>
        <w:t>22</w:t>
      </w:r>
      <w:r w:rsidRPr="00DE215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923038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9230381"/>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0469FEC" w:rsidR="00A3728B" w:rsidRPr="00EB7956" w:rsidRDefault="00DA7E51" w:rsidP="00EB7956">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EB7956" w:rsidRPr="00EB7956">
        <w:rPr>
          <w:szCs w:val="22"/>
          <w:bdr w:val="none" w:sz="0" w:space="0" w:color="auto" w:frame="1"/>
        </w:rPr>
        <w:t xml:space="preserve">Compañía Agropecuaria </w:t>
      </w:r>
      <w:proofErr w:type="spellStart"/>
      <w:r w:rsidR="00EB7956" w:rsidRPr="00EB7956">
        <w:rPr>
          <w:szCs w:val="22"/>
          <w:bdr w:val="none" w:sz="0" w:space="0" w:color="auto" w:frame="1"/>
        </w:rPr>
        <w:t>Copeval</w:t>
      </w:r>
      <w:proofErr w:type="spellEnd"/>
      <w:r w:rsidR="00EB7956" w:rsidRPr="00EB7956">
        <w:rPr>
          <w:szCs w:val="22"/>
          <w:bdr w:val="none" w:sz="0" w:space="0" w:color="auto" w:frame="1"/>
        </w:rPr>
        <w:t xml:space="preserve"> S.A.</w:t>
      </w:r>
      <w:r w:rsidR="00EB7956">
        <w:rPr>
          <w:szCs w:val="22"/>
          <w:bdr w:val="none" w:sz="0" w:space="0" w:color="auto" w:frame="1"/>
        </w:rPr>
        <w:t xml:space="preserve"> </w:t>
      </w:r>
      <w:r w:rsidR="00EB7956" w:rsidRPr="00EB7956">
        <w:rPr>
          <w:szCs w:val="22"/>
          <w:bdr w:val="none" w:sz="0" w:space="0" w:color="auto" w:frame="1"/>
        </w:rPr>
        <w:t>Dirección: Manuel Rodríguez 1099, San Fernando</w:t>
      </w:r>
      <w:r w:rsidR="00EB7956">
        <w:rPr>
          <w:szCs w:val="22"/>
          <w:bdr w:val="none" w:sz="0" w:space="0" w:color="auto" w:frame="1"/>
        </w:rPr>
        <w:t>. Teléfono</w:t>
      </w:r>
      <w:r w:rsidR="00EB7956" w:rsidRPr="00EB7956">
        <w:rPr>
          <w:szCs w:val="22"/>
          <w:bdr w:val="none" w:sz="0" w:space="0" w:color="auto" w:frame="1"/>
        </w:rPr>
        <w:t>:  +569 42917546</w:t>
      </w:r>
      <w:r w:rsidR="00EB7956">
        <w:rPr>
          <w:szCs w:val="22"/>
          <w:bdr w:val="none" w:sz="0" w:space="0" w:color="auto" w:frame="1"/>
        </w:rPr>
        <w:t>; c</w:t>
      </w:r>
      <w:r w:rsidR="00EB7956" w:rsidRPr="00EB7956">
        <w:rPr>
          <w:szCs w:val="22"/>
          <w:bdr w:val="none" w:sz="0" w:space="0" w:color="auto" w:frame="1"/>
        </w:rPr>
        <w:t>orreo</w:t>
      </w:r>
      <w:r w:rsidR="00EB7956">
        <w:rPr>
          <w:szCs w:val="22"/>
          <w:bdr w:val="none" w:sz="0" w:space="0" w:color="auto" w:frame="1"/>
        </w:rPr>
        <w:t xml:space="preserve"> electrónico</w:t>
      </w:r>
      <w:r w:rsidR="00EB7956" w:rsidRPr="00EB7956">
        <w:rPr>
          <w:szCs w:val="22"/>
          <w:bdr w:val="none" w:sz="0" w:space="0" w:color="auto" w:frame="1"/>
        </w:rPr>
        <w:t xml:space="preserve">: </w:t>
      </w:r>
      <w:hyperlink r:id="rId20" w:history="1">
        <w:r w:rsidR="00EB7956" w:rsidRPr="0074111A">
          <w:rPr>
            <w:rStyle w:val="Hipervnculo"/>
            <w:szCs w:val="22"/>
            <w:bdr w:val="none" w:sz="0" w:space="0" w:color="auto" w:frame="1"/>
          </w:rPr>
          <w:t>mabel.diaz@copeval.cl</w:t>
        </w:r>
      </w:hyperlink>
      <w:r w:rsidR="00EB7956">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EB7956">
        <w:rPr>
          <w:color w:val="000000"/>
          <w:szCs w:val="22"/>
          <w:bdr w:val="none" w:sz="0" w:space="0" w:color="auto" w:frame="1"/>
        </w:rPr>
        <w:t xml:space="preserve"> (</w:t>
      </w:r>
      <w:r w:rsidR="00EB7956" w:rsidRPr="00EB7956">
        <w:rPr>
          <w:color w:val="000000"/>
          <w:szCs w:val="22"/>
          <w:bdr w:val="none" w:sz="0" w:space="0" w:color="auto" w:frame="1"/>
        </w:rPr>
        <w:t xml:space="preserve">722 225970 - 722 234105 </w:t>
      </w:r>
      <w:r w:rsidR="00EB7956">
        <w:rPr>
          <w:color w:val="000000"/>
          <w:szCs w:val="22"/>
          <w:bdr w:val="none" w:sz="0" w:space="0" w:color="auto" w:frame="1"/>
        </w:rPr>
        <w:t xml:space="preserve">- </w:t>
      </w:r>
      <w:r w:rsidR="00EB7956" w:rsidRPr="00EB7956">
        <w:rPr>
          <w:color w:val="000000"/>
          <w:szCs w:val="22"/>
          <w:bdr w:val="none" w:sz="0" w:space="0" w:color="auto" w:frame="1"/>
        </w:rPr>
        <w:t xml:space="preserve">+569 62428316 </w:t>
      </w:r>
      <w:r w:rsidR="00EB7956">
        <w:rPr>
          <w:color w:val="000000"/>
          <w:szCs w:val="22"/>
          <w:bdr w:val="none" w:sz="0" w:space="0" w:color="auto" w:frame="1"/>
        </w:rPr>
        <w:t xml:space="preserve">- </w:t>
      </w:r>
      <w:r w:rsidR="00EB7956" w:rsidRPr="00EB7956">
        <w:rPr>
          <w:color w:val="000000"/>
          <w:szCs w:val="22"/>
          <w:bdr w:val="none" w:sz="0" w:space="0" w:color="auto" w:frame="1"/>
        </w:rPr>
        <w:t>+569 81277778</w:t>
      </w:r>
      <w:r w:rsidR="00EB7956">
        <w:rPr>
          <w:color w:val="000000"/>
          <w:szCs w:val="22"/>
          <w:bdr w:val="none" w:sz="0" w:space="0" w:color="auto" w:frame="1"/>
        </w:rPr>
        <w:t xml:space="preserve"> -</w:t>
      </w:r>
      <w:r w:rsidR="00EB7956" w:rsidRPr="00EB7956">
        <w:rPr>
          <w:color w:val="000000"/>
          <w:szCs w:val="22"/>
          <w:bdr w:val="none" w:sz="0" w:space="0" w:color="auto" w:frame="1"/>
        </w:rPr>
        <w:t xml:space="preserve"> </w:t>
      </w:r>
      <w:r w:rsidR="00EB7956">
        <w:rPr>
          <w:color w:val="000000"/>
          <w:szCs w:val="22"/>
          <w:bdr w:val="none" w:sz="0" w:space="0" w:color="auto" w:frame="1"/>
        </w:rPr>
        <w:t xml:space="preserve"> +569 91656512)</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bookmarkStart w:id="41" w:name="_GoBack"/>
      <w:bookmarkEnd w:id="41"/>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lastRenderedPageBreak/>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lastRenderedPageBreak/>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01D0DA6D" w:rsidR="00C94CF0" w:rsidRPr="00473B95" w:rsidRDefault="00C94CF0" w:rsidP="00473B95">
            <w:pPr>
              <w:jc w:val="both"/>
              <w:rPr>
                <w:rFonts w:cs="Arial"/>
                <w:sz w:val="20"/>
                <w:szCs w:val="22"/>
                <w:lang w:val="es-CL"/>
              </w:rPr>
            </w:pPr>
            <w:r w:rsidRPr="007A47FF">
              <w:rPr>
                <w:rFonts w:cs="Arial"/>
                <w:sz w:val="20"/>
                <w:szCs w:val="22"/>
              </w:rPr>
              <w:t xml:space="preserve">4.- </w:t>
            </w:r>
            <w:r w:rsidR="00955F7E" w:rsidRPr="00955F7E">
              <w:rPr>
                <w:rFonts w:cs="Arial"/>
                <w:sz w:val="20"/>
                <w:szCs w:val="22"/>
                <w:lang w:val="es-MX"/>
              </w:rPr>
              <w:t>Monto solicitado en acciones de gestión empresarial.</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F8509D0" w:rsidR="00C94CF0" w:rsidRPr="007A47FF" w:rsidRDefault="00C94CF0" w:rsidP="00E16F07">
            <w:pPr>
              <w:jc w:val="both"/>
              <w:rPr>
                <w:rFonts w:cs="Arial"/>
                <w:sz w:val="20"/>
                <w:szCs w:val="22"/>
              </w:rPr>
            </w:pPr>
            <w:r w:rsidRPr="007A47FF">
              <w:rPr>
                <w:rFonts w:cs="Arial"/>
                <w:sz w:val="20"/>
                <w:szCs w:val="22"/>
              </w:rPr>
              <w:t xml:space="preserve">5.- </w:t>
            </w:r>
            <w:r w:rsidR="00955F7E" w:rsidRPr="00955F7E">
              <w:rPr>
                <w:rFonts w:cs="Arial"/>
                <w:sz w:val="20"/>
                <w:szCs w:val="22"/>
              </w:rPr>
              <w:t xml:space="preserve">Postulantes en grupo </w:t>
            </w:r>
            <w:proofErr w:type="spellStart"/>
            <w:r w:rsidR="00955F7E" w:rsidRPr="00955F7E">
              <w:rPr>
                <w:rFonts w:cs="Arial"/>
                <w:sz w:val="20"/>
                <w:szCs w:val="22"/>
              </w:rPr>
              <w:t>etáreo</w:t>
            </w:r>
            <w:proofErr w:type="spellEnd"/>
            <w:r w:rsidR="00955F7E" w:rsidRPr="00955F7E">
              <w:rPr>
                <w:rFonts w:cs="Arial"/>
                <w:sz w:val="20"/>
                <w:szCs w:val="22"/>
              </w:rPr>
              <w:t>: jóvenes o adultos mayores.</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lastRenderedPageBreak/>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2E546537" w14:textId="60D37DCC"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w:t>
      </w:r>
      <w:r w:rsidR="008B0CD7" w:rsidRPr="00044693">
        <w:rPr>
          <w:rFonts w:cs="Arial"/>
          <w:szCs w:val="22"/>
        </w:rPr>
        <w:lastRenderedPageBreak/>
        <w:t xml:space="preserve">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 xml:space="preserve">deberá notificar de lo anterior al </w:t>
      </w:r>
      <w:r w:rsidR="00074C3F" w:rsidRPr="00044693">
        <w:rPr>
          <w:rFonts w:cs="Arial"/>
        </w:rPr>
        <w:lastRenderedPageBreak/>
        <w:t>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5883A0E3" w14:textId="529F728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lastRenderedPageBreak/>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lastRenderedPageBreak/>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93E62B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w:t>
      </w:r>
      <w:r w:rsidR="008E3816" w:rsidRPr="00545894">
        <w:lastRenderedPageBreak/>
        <w:t xml:space="preserve">máximo de </w:t>
      </w:r>
      <w:r w:rsidR="001F5A80">
        <w:t>10</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lastRenderedPageBreak/>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w:t>
            </w:r>
            <w:r w:rsidR="00113241" w:rsidRPr="00E85ECC">
              <w:rPr>
                <w:rFonts w:eastAsia="Arial Unicode MS" w:cs="Arial"/>
                <w:color w:val="000000" w:themeColor="text1"/>
                <w:szCs w:val="22"/>
              </w:rPr>
              <w:lastRenderedPageBreak/>
              <w:t xml:space="preserve">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7"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8"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373434DF" w:rsidR="00EF3AF8" w:rsidRDefault="00EF3AF8" w:rsidP="008C599F">
      <w:pPr>
        <w:jc w:val="both"/>
        <w:rPr>
          <w:rFonts w:eastAsia="Arial Unicode MS" w:cs="Arial"/>
          <w:szCs w:val="22"/>
        </w:rPr>
      </w:pPr>
    </w:p>
    <w:p w14:paraId="68DD1CDC" w14:textId="168EC10B" w:rsidR="00364B08" w:rsidRDefault="00364B08" w:rsidP="008C599F">
      <w:pPr>
        <w:jc w:val="both"/>
        <w:rPr>
          <w:rFonts w:eastAsia="Arial Unicode MS" w:cs="Arial"/>
          <w:szCs w:val="22"/>
        </w:rPr>
      </w:pPr>
    </w:p>
    <w:p w14:paraId="7D9077F8" w14:textId="77777777" w:rsidR="00364B08" w:rsidRDefault="00364B0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 xml:space="preserve">su uso y </w:t>
      </w:r>
      <w:r w:rsidR="00C92C0A" w:rsidRPr="00ED1705">
        <w:rPr>
          <w:rFonts w:cs="Arial"/>
          <w:szCs w:val="22"/>
        </w:rPr>
        <w:lastRenderedPageBreak/>
        <w:t>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58240881" w:rsidR="002D6CCD" w:rsidRDefault="002D6CCD" w:rsidP="009E2172">
      <w:pPr>
        <w:rPr>
          <w:rFonts w:eastAsia="Arial Unicode MS" w:cs="Arial"/>
          <w:b/>
          <w:bCs/>
          <w:sz w:val="40"/>
          <w:szCs w:val="40"/>
        </w:rPr>
      </w:pPr>
    </w:p>
    <w:p w14:paraId="79670FCE" w14:textId="0D6CA350" w:rsidR="009F14B1" w:rsidRDefault="009F14B1" w:rsidP="009E2172">
      <w:pPr>
        <w:rPr>
          <w:rFonts w:eastAsia="Arial Unicode MS" w:cs="Arial"/>
          <w:b/>
          <w:bCs/>
          <w:sz w:val="40"/>
          <w:szCs w:val="40"/>
        </w:rPr>
      </w:pPr>
    </w:p>
    <w:p w14:paraId="1BC1FA6C" w14:textId="2205E20F" w:rsidR="009F14B1" w:rsidRDefault="009F14B1" w:rsidP="009E2172">
      <w:pPr>
        <w:rPr>
          <w:rFonts w:eastAsia="Arial Unicode MS" w:cs="Arial"/>
          <w:b/>
          <w:bCs/>
          <w:sz w:val="40"/>
          <w:szCs w:val="40"/>
        </w:rPr>
      </w:pPr>
    </w:p>
    <w:p w14:paraId="56BE280C" w14:textId="209E663E" w:rsidR="009F14B1" w:rsidRDefault="009F14B1" w:rsidP="009E2172">
      <w:pPr>
        <w:rPr>
          <w:rFonts w:eastAsia="Arial Unicode MS" w:cs="Arial"/>
          <w:b/>
          <w:bCs/>
          <w:sz w:val="40"/>
          <w:szCs w:val="40"/>
        </w:rPr>
      </w:pPr>
    </w:p>
    <w:p w14:paraId="77C51104" w14:textId="1B44719D" w:rsidR="009F14B1" w:rsidRDefault="009F14B1" w:rsidP="009E2172">
      <w:pPr>
        <w:rPr>
          <w:rFonts w:eastAsia="Arial Unicode MS" w:cs="Arial"/>
          <w:b/>
          <w:bCs/>
          <w:sz w:val="40"/>
          <w:szCs w:val="40"/>
        </w:rPr>
      </w:pPr>
    </w:p>
    <w:p w14:paraId="2BC76110" w14:textId="17F2773E" w:rsidR="009F14B1" w:rsidRDefault="009F14B1" w:rsidP="009E2172">
      <w:pPr>
        <w:rPr>
          <w:rFonts w:eastAsia="Arial Unicode MS" w:cs="Arial"/>
          <w:b/>
          <w:bCs/>
          <w:sz w:val="40"/>
          <w:szCs w:val="40"/>
        </w:rPr>
      </w:pPr>
    </w:p>
    <w:p w14:paraId="4BD53241" w14:textId="7B820F66" w:rsidR="009F14B1" w:rsidRDefault="009F14B1" w:rsidP="009E2172">
      <w:pPr>
        <w:rPr>
          <w:rFonts w:eastAsia="Arial Unicode MS" w:cs="Arial"/>
          <w:b/>
          <w:bCs/>
          <w:sz w:val="40"/>
          <w:szCs w:val="40"/>
        </w:rPr>
      </w:pPr>
    </w:p>
    <w:p w14:paraId="4795B37E" w14:textId="4C9CC554" w:rsidR="009F14B1" w:rsidRDefault="009F14B1" w:rsidP="009E2172">
      <w:pPr>
        <w:rPr>
          <w:rFonts w:eastAsia="Arial Unicode MS" w:cs="Arial"/>
          <w:b/>
          <w:bCs/>
          <w:sz w:val="40"/>
          <w:szCs w:val="40"/>
        </w:rPr>
      </w:pPr>
    </w:p>
    <w:p w14:paraId="354B04F4" w14:textId="203C14F1" w:rsidR="009F14B1" w:rsidRDefault="009F14B1" w:rsidP="009E2172">
      <w:pPr>
        <w:rPr>
          <w:rFonts w:eastAsia="Arial Unicode MS" w:cs="Arial"/>
          <w:b/>
          <w:bCs/>
          <w:sz w:val="40"/>
          <w:szCs w:val="40"/>
        </w:rPr>
      </w:pPr>
    </w:p>
    <w:p w14:paraId="3BFC370B" w14:textId="4546C584" w:rsidR="009F14B1" w:rsidRDefault="009F14B1" w:rsidP="009E2172">
      <w:pPr>
        <w:rPr>
          <w:rFonts w:eastAsia="Arial Unicode MS" w:cs="Arial"/>
          <w:b/>
          <w:bCs/>
          <w:sz w:val="40"/>
          <w:szCs w:val="40"/>
        </w:rPr>
      </w:pPr>
    </w:p>
    <w:p w14:paraId="47142CCC" w14:textId="67CC1AC8" w:rsidR="009F14B1" w:rsidRDefault="009F14B1" w:rsidP="009E2172">
      <w:pPr>
        <w:rPr>
          <w:rFonts w:eastAsia="Arial Unicode MS" w:cs="Arial"/>
          <w:b/>
          <w:bCs/>
          <w:sz w:val="40"/>
          <w:szCs w:val="40"/>
        </w:rPr>
      </w:pPr>
    </w:p>
    <w:p w14:paraId="1C2C488B" w14:textId="451C1714" w:rsidR="009F14B1" w:rsidRDefault="009F14B1" w:rsidP="009E2172">
      <w:pPr>
        <w:rPr>
          <w:rFonts w:eastAsia="Arial Unicode MS" w:cs="Arial"/>
          <w:b/>
          <w:bCs/>
          <w:sz w:val="40"/>
          <w:szCs w:val="40"/>
        </w:rPr>
      </w:pPr>
    </w:p>
    <w:p w14:paraId="61AE281E" w14:textId="171BC254" w:rsidR="009F14B1" w:rsidRDefault="009F14B1" w:rsidP="009E2172">
      <w:pPr>
        <w:rPr>
          <w:rFonts w:eastAsia="Arial Unicode MS" w:cs="Arial"/>
          <w:b/>
          <w:bCs/>
          <w:sz w:val="40"/>
          <w:szCs w:val="40"/>
        </w:rPr>
      </w:pPr>
    </w:p>
    <w:p w14:paraId="1EFAC98A" w14:textId="479FE14A" w:rsidR="009F14B1" w:rsidRDefault="009F14B1" w:rsidP="009E2172">
      <w:pPr>
        <w:rPr>
          <w:rFonts w:eastAsia="Arial Unicode MS" w:cs="Arial"/>
          <w:b/>
          <w:bCs/>
          <w:sz w:val="40"/>
          <w:szCs w:val="40"/>
        </w:rPr>
      </w:pPr>
    </w:p>
    <w:p w14:paraId="5B92A5A1" w14:textId="77777777" w:rsidR="009F14B1" w:rsidRDefault="009F14B1"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A820ACE"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F14B1">
        <w:rPr>
          <w:rFonts w:eastAsia="Arial Unicode MS" w:cs="Arial"/>
          <w:b/>
          <w:bCs/>
          <w:sz w:val="40"/>
          <w:szCs w:val="40"/>
        </w:rPr>
        <w:t>DEL LIBERTADOR BERNARDO O´HIGGINS</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0"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292FF5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B90E8A">
        <w:rPr>
          <w:rFonts w:eastAsiaTheme="minorHAnsi" w:cstheme="minorBidi"/>
          <w:color w:val="000000" w:themeColor="text1"/>
          <w:szCs w:val="22"/>
          <w:lang w:val="es-CL" w:eastAsia="en-US"/>
        </w:rPr>
        <w:t xml:space="preserve"> del Libertador Bernardo O´Higgins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5A2079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B90E8A">
        <w:rPr>
          <w:b/>
        </w:rPr>
        <w:t>, Región del Libertador Bernardo O´Higgins</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4923633E" w:rsidR="003046D1" w:rsidRPr="00075A52" w:rsidRDefault="00632E21" w:rsidP="003046D1">
      <w:pPr>
        <w:jc w:val="center"/>
        <w:rPr>
          <w:b/>
          <w:szCs w:val="22"/>
        </w:rPr>
      </w:pPr>
      <w:r>
        <w:rPr>
          <w:b/>
          <w:szCs w:val="22"/>
        </w:rPr>
        <w:t>REGIÓN DEL LIBERTADOR BERNARDO O´HIGGINS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1B476999" w:rsidR="005803D5" w:rsidRPr="00326A8D" w:rsidRDefault="00326A8D" w:rsidP="00326A8D">
      <w:pPr>
        <w:numPr>
          <w:ilvl w:val="1"/>
          <w:numId w:val="12"/>
        </w:numPr>
        <w:tabs>
          <w:tab w:val="num" w:pos="360"/>
        </w:tabs>
        <w:ind w:left="0" w:firstLine="0"/>
        <w:rPr>
          <w:rFonts w:cs="Arial"/>
          <w:lang w:val="es-CL"/>
        </w:rPr>
      </w:pPr>
      <w:r w:rsidRPr="00326A8D">
        <w:rPr>
          <w:rFonts w:cs="Arial"/>
          <w:b/>
        </w:rPr>
        <w:t>Monto solicitado en acciones de gestión empresarial</w:t>
      </w:r>
      <w:r w:rsidRPr="00326A8D">
        <w:rPr>
          <w:rFonts w:cs="Arial"/>
        </w:rPr>
        <w:t>.</w:t>
      </w:r>
    </w:p>
    <w:p w14:paraId="39992EDA" w14:textId="53C151BE" w:rsidR="00BD4B4A" w:rsidRPr="005803D5" w:rsidRDefault="00BD4B4A" w:rsidP="005803D5">
      <w:pPr>
        <w:rPr>
          <w:rFonts w:cs="Arial"/>
          <w:color w:val="FF0000"/>
        </w:rPr>
      </w:pPr>
    </w:p>
    <w:p w14:paraId="044EB948" w14:textId="268C2369" w:rsidR="005803D5" w:rsidRPr="00326A8D" w:rsidRDefault="00326A8D" w:rsidP="00326A8D">
      <w:pPr>
        <w:numPr>
          <w:ilvl w:val="1"/>
          <w:numId w:val="12"/>
        </w:numPr>
        <w:tabs>
          <w:tab w:val="num" w:pos="360"/>
        </w:tabs>
        <w:ind w:left="0" w:firstLine="0"/>
        <w:rPr>
          <w:rFonts w:cs="Arial"/>
          <w:lang w:val="es-CL"/>
        </w:rPr>
      </w:pPr>
      <w:r w:rsidRPr="00326A8D">
        <w:rPr>
          <w:rFonts w:cs="Arial"/>
          <w:b/>
          <w:lang w:val="es-MX"/>
        </w:rPr>
        <w:t xml:space="preserve">Postulantes en grupo </w:t>
      </w:r>
      <w:proofErr w:type="spellStart"/>
      <w:r w:rsidRPr="00326A8D">
        <w:rPr>
          <w:rFonts w:cs="Arial"/>
          <w:b/>
          <w:lang w:val="es-MX"/>
        </w:rPr>
        <w:t>etáreo</w:t>
      </w:r>
      <w:proofErr w:type="spellEnd"/>
      <w:r w:rsidRPr="00326A8D">
        <w:rPr>
          <w:rFonts w:cs="Arial"/>
          <w:lang w:val="es-MX"/>
        </w:rPr>
        <w:t>: jóvenes o adultos mayores.</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0E497EDB" w14:textId="76B7688B"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1779A"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78AB5148" w:rsidR="00A1779A" w:rsidRPr="009373EA" w:rsidRDefault="00A1779A" w:rsidP="00A1779A">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093E1F">
              <w:rPr>
                <w:rFonts w:cstheme="minorHAnsi"/>
                <w:sz w:val="18"/>
              </w:rPr>
              <w:t>Monto solicitado en acciones de gestión empresarial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014201C" w:rsidR="00A1779A" w:rsidRPr="00C328A8" w:rsidRDefault="00A1779A" w:rsidP="00A1779A">
            <w:pPr>
              <w:pStyle w:val="NormalWeb"/>
              <w:spacing w:before="0" w:beforeAutospacing="0" w:after="0" w:afterAutospacing="0"/>
              <w:jc w:val="both"/>
              <w:rPr>
                <w:rFonts w:cstheme="minorHAnsi"/>
                <w:sz w:val="18"/>
              </w:rPr>
            </w:pPr>
            <w:r w:rsidRPr="00A1779A">
              <w:rPr>
                <w:rFonts w:cstheme="minorHAnsi"/>
                <w:sz w:val="18"/>
              </w:rPr>
              <w:t>Idea de Negocio postulada, que en su estructura de financiamiento solicita el monto mínimo de $200.000 (doscientos mil pesos) en Acciones de gestión empresarial.</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F20B23A" w:rsidR="00A1779A" w:rsidRPr="00C328A8" w:rsidRDefault="00A1779A" w:rsidP="00A1779A">
            <w:pPr>
              <w:jc w:val="center"/>
              <w:rPr>
                <w:rFonts w:cstheme="minorHAnsi"/>
                <w:sz w:val="18"/>
              </w:rPr>
            </w:pPr>
            <w:r w:rsidRPr="00A1779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A1779A" w:rsidRPr="00CA4572" w:rsidRDefault="00A1779A" w:rsidP="00A1779A">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A1779A" w:rsidRPr="00347B9F" w14:paraId="6F0B4F48" w14:textId="77777777" w:rsidTr="004238B9">
        <w:trPr>
          <w:jc w:val="center"/>
        </w:trPr>
        <w:tc>
          <w:tcPr>
            <w:tcW w:w="2686" w:type="dxa"/>
            <w:vMerge/>
            <w:tcBorders>
              <w:left w:val="single" w:sz="4" w:space="0" w:color="auto"/>
              <w:right w:val="single" w:sz="4" w:space="0" w:color="auto"/>
            </w:tcBorders>
            <w:vAlign w:val="center"/>
            <w:hideMark/>
          </w:tcPr>
          <w:p w14:paraId="37AFC4C3" w14:textId="77777777" w:rsidR="00A1779A" w:rsidRPr="009373EA" w:rsidRDefault="00A1779A" w:rsidP="00A1779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721DC3E1" w14:textId="04625608" w:rsidR="00A1779A" w:rsidRPr="00C328A8" w:rsidRDefault="00A1779A" w:rsidP="00A1779A">
            <w:pPr>
              <w:jc w:val="both"/>
              <w:rPr>
                <w:rFonts w:cstheme="minorHAnsi"/>
                <w:sz w:val="18"/>
              </w:rPr>
            </w:pPr>
            <w:r w:rsidRPr="00A1779A">
              <w:rPr>
                <w:rFonts w:cstheme="minorHAnsi"/>
                <w:sz w:val="18"/>
              </w:rPr>
              <w:t>Idea de Negocio postulada, que en su estructura de financiamiento solicita un monto mayor a $200.000 (doscientos mil pesos) en Acciones de gestión empresarial.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B8B2727" w:rsidR="00A1779A" w:rsidRPr="00C328A8" w:rsidRDefault="00A1779A" w:rsidP="00A1779A">
            <w:pPr>
              <w:jc w:val="center"/>
              <w:rPr>
                <w:rFonts w:cstheme="minorHAnsi"/>
                <w:sz w:val="18"/>
              </w:rPr>
            </w:pPr>
            <w:r w:rsidRPr="00A1779A">
              <w:rPr>
                <w:rFonts w:cstheme="minorHAnsi"/>
                <w:sz w:val="18"/>
              </w:rPr>
              <w:t>3</w:t>
            </w:r>
          </w:p>
        </w:tc>
        <w:tc>
          <w:tcPr>
            <w:tcW w:w="2081" w:type="dxa"/>
            <w:vMerge/>
            <w:tcBorders>
              <w:left w:val="single" w:sz="4" w:space="0" w:color="auto"/>
              <w:right w:val="single" w:sz="4" w:space="0" w:color="auto"/>
            </w:tcBorders>
            <w:vAlign w:val="center"/>
            <w:hideMark/>
          </w:tcPr>
          <w:p w14:paraId="76F6A455" w14:textId="77777777" w:rsidR="00A1779A" w:rsidRPr="00347B9F" w:rsidRDefault="00A1779A" w:rsidP="00A1779A">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FB4963"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1128799" w:rsidR="00FB4963" w:rsidRPr="00D9384A" w:rsidRDefault="00FB4963" w:rsidP="00FB4963">
            <w:pPr>
              <w:jc w:val="center"/>
              <w:rPr>
                <w:rFonts w:cstheme="minorHAnsi"/>
                <w:sz w:val="18"/>
              </w:rPr>
            </w:pPr>
            <w:r w:rsidRPr="00997250">
              <w:rPr>
                <w:rFonts w:cstheme="minorHAnsi"/>
                <w:sz w:val="18"/>
              </w:rPr>
              <w:t xml:space="preserve">5. </w:t>
            </w:r>
            <w:r w:rsidRPr="00093E1F">
              <w:rPr>
                <w:rFonts w:cstheme="minorHAnsi"/>
                <w:sz w:val="18"/>
              </w:rPr>
              <w:t xml:space="preserve">Postulantes en grupo </w:t>
            </w:r>
            <w:proofErr w:type="spellStart"/>
            <w:r w:rsidRPr="00093E1F">
              <w:rPr>
                <w:rFonts w:cstheme="minorHAnsi"/>
                <w:sz w:val="18"/>
              </w:rPr>
              <w:t>etáreo</w:t>
            </w:r>
            <w:proofErr w:type="spellEnd"/>
            <w:r w:rsidRPr="00093E1F">
              <w:rPr>
                <w:rFonts w:cstheme="minorHAnsi"/>
                <w:sz w:val="18"/>
              </w:rPr>
              <w:t>: jóvenes o adultos mayores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025F742F" w:rsidR="00FB4963" w:rsidRPr="00D9384A" w:rsidRDefault="00FB4963" w:rsidP="00FB4963">
            <w:pPr>
              <w:jc w:val="both"/>
              <w:rPr>
                <w:rFonts w:cstheme="minorHAnsi"/>
                <w:sz w:val="18"/>
              </w:rPr>
            </w:pPr>
            <w:r w:rsidRPr="00FB4963">
              <w:rPr>
                <w:rFonts w:cstheme="minorHAnsi"/>
                <w:sz w:val="18"/>
              </w:rPr>
              <w:t xml:space="preserve">La persona natural postulante del proyecto, pertenece a alguno de los siguientes grupos </w:t>
            </w:r>
            <w:proofErr w:type="spellStart"/>
            <w:r w:rsidRPr="00FB4963">
              <w:rPr>
                <w:rFonts w:cstheme="minorHAnsi"/>
                <w:sz w:val="18"/>
              </w:rPr>
              <w:t>etáreos</w:t>
            </w:r>
            <w:proofErr w:type="spellEnd"/>
            <w:r w:rsidRPr="00FB4963">
              <w:rPr>
                <w:rFonts w:cstheme="minorHAnsi"/>
                <w:sz w:val="18"/>
              </w:rPr>
              <w:t>: Joven (entre 18 y 29 años) o Adulto Mayor (mayores de 60 años), a la fecha de inicio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22F8CFE5" w:rsidR="00FB4963" w:rsidRPr="00D9384A" w:rsidRDefault="00FB4963" w:rsidP="00FB4963">
            <w:pPr>
              <w:jc w:val="center"/>
              <w:rPr>
                <w:rFonts w:cstheme="minorHAnsi"/>
                <w:sz w:val="18"/>
              </w:rPr>
            </w:pPr>
            <w:r w:rsidRPr="00FB4963">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FB4963" w:rsidRPr="00CA4572" w:rsidRDefault="00FB4963" w:rsidP="00FB4963">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FB4963" w:rsidRPr="00347B9F" w14:paraId="404D143E" w14:textId="77777777" w:rsidTr="00EC51D1">
        <w:trPr>
          <w:jc w:val="center"/>
        </w:trPr>
        <w:tc>
          <w:tcPr>
            <w:tcW w:w="2686" w:type="dxa"/>
            <w:vMerge/>
            <w:tcBorders>
              <w:left w:val="single" w:sz="4" w:space="0" w:color="auto"/>
              <w:right w:val="single" w:sz="4" w:space="0" w:color="auto"/>
            </w:tcBorders>
            <w:vAlign w:val="center"/>
            <w:hideMark/>
          </w:tcPr>
          <w:p w14:paraId="62B27CAA" w14:textId="77777777" w:rsidR="00FB4963" w:rsidRPr="009373EA" w:rsidRDefault="00FB4963" w:rsidP="00FB4963">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74B74CB6" w14:textId="3E4C4D19" w:rsidR="00FB4963" w:rsidRPr="00D9384A" w:rsidRDefault="00FB4963" w:rsidP="00FB4963">
            <w:pPr>
              <w:pStyle w:val="NormalWeb"/>
              <w:spacing w:before="0" w:beforeAutospacing="0" w:after="0" w:afterAutospacing="0"/>
              <w:jc w:val="both"/>
              <w:rPr>
                <w:rFonts w:cstheme="minorHAnsi"/>
                <w:sz w:val="18"/>
              </w:rPr>
            </w:pPr>
            <w:r w:rsidRPr="00FB4963">
              <w:rPr>
                <w:rFonts w:cstheme="minorHAnsi"/>
                <w:sz w:val="18"/>
              </w:rPr>
              <w:t xml:space="preserve">La persona natural postulante del proyecto, NO pertenece a alguno de los siguientes grupos </w:t>
            </w:r>
            <w:proofErr w:type="spellStart"/>
            <w:r w:rsidRPr="00FB4963">
              <w:rPr>
                <w:rFonts w:cstheme="minorHAnsi"/>
                <w:sz w:val="18"/>
              </w:rPr>
              <w:t>etáreos</w:t>
            </w:r>
            <w:proofErr w:type="spellEnd"/>
            <w:r w:rsidRPr="00FB4963">
              <w:rPr>
                <w:rFonts w:cstheme="minorHAnsi"/>
                <w:sz w:val="18"/>
              </w:rPr>
              <w:t>: Joven (entre 18 y 29 años) o Adulto Mayor (mayores de 60 años), a la fecha de inicio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10369ED0" w:rsidR="00FB4963" w:rsidRPr="00D9384A" w:rsidRDefault="00FB4963" w:rsidP="00FB4963">
            <w:pPr>
              <w:jc w:val="center"/>
              <w:rPr>
                <w:rFonts w:cstheme="minorHAnsi"/>
                <w:sz w:val="18"/>
              </w:rPr>
            </w:pPr>
            <w:r w:rsidRPr="00FB4963">
              <w:rPr>
                <w:rFonts w:cstheme="minorHAnsi"/>
                <w:sz w:val="18"/>
              </w:rPr>
              <w:t>3</w:t>
            </w:r>
          </w:p>
        </w:tc>
        <w:tc>
          <w:tcPr>
            <w:tcW w:w="2081" w:type="dxa"/>
            <w:vMerge/>
            <w:tcBorders>
              <w:left w:val="single" w:sz="4" w:space="0" w:color="auto"/>
              <w:right w:val="single" w:sz="4" w:space="0" w:color="auto"/>
            </w:tcBorders>
            <w:vAlign w:val="center"/>
            <w:hideMark/>
          </w:tcPr>
          <w:p w14:paraId="1B5C559C" w14:textId="77777777" w:rsidR="00FB4963" w:rsidRPr="00347B9F" w:rsidRDefault="00FB4963" w:rsidP="00FB4963">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A19F6" w:rsidP="006C491F">
      <w:pPr>
        <w:spacing w:after="160" w:line="259" w:lineRule="auto"/>
        <w:jc w:val="both"/>
        <w:rPr>
          <w:rFonts w:eastAsia="Arial Unicode MS" w:cs="Arial"/>
          <w:szCs w:val="22"/>
          <w:lang w:val="es-CL"/>
        </w:rPr>
      </w:pPr>
      <w:hyperlink r:id="rId35"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208C" w14:textId="77777777" w:rsidR="005A19F6" w:rsidRDefault="005A19F6" w:rsidP="0042236C">
      <w:r>
        <w:separator/>
      </w:r>
    </w:p>
  </w:endnote>
  <w:endnote w:type="continuationSeparator" w:id="0">
    <w:p w14:paraId="107158BD" w14:textId="77777777" w:rsidR="005A19F6" w:rsidRDefault="005A19F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7EF6A17" w:rsidR="003D16A0" w:rsidRPr="00BD14F7" w:rsidRDefault="003D16A0">
    <w:pPr>
      <w:pStyle w:val="Piedepgina"/>
      <w:jc w:val="right"/>
    </w:pPr>
    <w:r w:rsidRPr="00BD14F7">
      <w:fldChar w:fldCharType="begin"/>
    </w:r>
    <w:r w:rsidRPr="00BD14F7">
      <w:instrText>PAGE   \* MERGEFORMAT</w:instrText>
    </w:r>
    <w:r w:rsidRPr="00BD14F7">
      <w:fldChar w:fldCharType="separate"/>
    </w:r>
    <w:r w:rsidR="00EB7956">
      <w:rPr>
        <w:noProof/>
      </w:rPr>
      <w:t>17</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370D" w14:textId="77777777" w:rsidR="005A19F6" w:rsidRDefault="005A19F6"/>
  </w:footnote>
  <w:footnote w:type="continuationSeparator" w:id="0">
    <w:p w14:paraId="14A0F028" w14:textId="77777777" w:rsidR="005A19F6" w:rsidRDefault="005A19F6"/>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5CA8"/>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3E1F"/>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5EA7"/>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126"/>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6A8D"/>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4B08"/>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A64"/>
    <w:rsid w:val="00400C7E"/>
    <w:rsid w:val="00400E1C"/>
    <w:rsid w:val="00400ED4"/>
    <w:rsid w:val="00401008"/>
    <w:rsid w:val="0040158B"/>
    <w:rsid w:val="00401E9C"/>
    <w:rsid w:val="004023AC"/>
    <w:rsid w:val="004025A8"/>
    <w:rsid w:val="00402FAE"/>
    <w:rsid w:val="004035B7"/>
    <w:rsid w:val="0040455C"/>
    <w:rsid w:val="00404592"/>
    <w:rsid w:val="00405516"/>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19F6"/>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2E21"/>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68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7E"/>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4B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79A"/>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5D3"/>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0E8A"/>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699A"/>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0DC0"/>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CAC"/>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152"/>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B7956"/>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963"/>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27E"/>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8945664">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6254291">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abel.diaz@copeval.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95CBFA0-F3C2-46EF-B86D-313E2CF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68</Pages>
  <Words>22661</Words>
  <Characters>124636</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83</cp:revision>
  <cp:lastPrinted>2022-07-18T21:24:00Z</cp:lastPrinted>
  <dcterms:created xsi:type="dcterms:W3CDTF">2022-07-19T02:15:00Z</dcterms:created>
  <dcterms:modified xsi:type="dcterms:W3CDTF">2022-07-25T15:16:00Z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