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164DCEEA"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6E2CC6">
        <w:rPr>
          <w:rFonts w:ascii="Arial" w:eastAsia="gobCL" w:hAnsi="Arial" w:cs="Arial"/>
          <w:b/>
        </w:rPr>
        <w:t>DE LA ARAUCANIA</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6E2CC6" w:rsidRDefault="004B5FE5">
          <w:pPr>
            <w:pStyle w:val="TtuloTDC"/>
            <w:rPr>
              <w:rFonts w:ascii="Arial" w:hAnsi="Arial" w:cs="Arial"/>
              <w:sz w:val="18"/>
              <w:szCs w:val="18"/>
            </w:rPr>
          </w:pPr>
          <w:r w:rsidRPr="006E2CC6">
            <w:rPr>
              <w:rFonts w:ascii="Arial" w:hAnsi="Arial" w:cs="Arial"/>
              <w:sz w:val="18"/>
              <w:szCs w:val="18"/>
              <w:lang w:val="es-ES"/>
            </w:rPr>
            <w:t>Índice</w:t>
          </w:r>
        </w:p>
        <w:p w14:paraId="299ED940" w14:textId="12097C20" w:rsidR="006E2CC6" w:rsidRPr="006E2CC6" w:rsidRDefault="00583D46">
          <w:pPr>
            <w:pStyle w:val="TDC1"/>
            <w:rPr>
              <w:rFonts w:ascii="Arial" w:hAnsi="Arial" w:cs="Arial"/>
              <w:noProof/>
              <w:sz w:val="18"/>
              <w:szCs w:val="18"/>
              <w:lang w:val="es-419" w:eastAsia="es-419"/>
            </w:rPr>
          </w:pPr>
          <w:r w:rsidRPr="006E2CC6">
            <w:rPr>
              <w:rFonts w:ascii="Arial" w:hAnsi="Arial" w:cs="Arial"/>
              <w:sz w:val="18"/>
              <w:szCs w:val="18"/>
            </w:rPr>
            <w:fldChar w:fldCharType="begin"/>
          </w:r>
          <w:r w:rsidRPr="006E2CC6">
            <w:rPr>
              <w:rFonts w:ascii="Arial" w:hAnsi="Arial" w:cs="Arial"/>
              <w:sz w:val="18"/>
              <w:szCs w:val="18"/>
            </w:rPr>
            <w:instrText xml:space="preserve"> TOC \o "1-3" \h \z \u </w:instrText>
          </w:r>
          <w:r w:rsidRPr="006E2CC6">
            <w:rPr>
              <w:rFonts w:ascii="Arial" w:hAnsi="Arial" w:cs="Arial"/>
              <w:sz w:val="18"/>
              <w:szCs w:val="18"/>
            </w:rPr>
            <w:fldChar w:fldCharType="separate"/>
          </w:r>
          <w:hyperlink w:anchor="_Toc132473244" w:history="1">
            <w:r w:rsidR="006E2CC6" w:rsidRPr="006E2CC6">
              <w:rPr>
                <w:rStyle w:val="Hipervnculo"/>
                <w:rFonts w:ascii="Arial" w:hAnsi="Arial" w:cs="Arial"/>
                <w:noProof/>
                <w:sz w:val="18"/>
                <w:szCs w:val="18"/>
              </w:rPr>
              <w:t>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Descripción General</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_Toc132473244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w:t>
            </w:r>
            <w:r w:rsidR="006E2CC6" w:rsidRPr="006E2CC6">
              <w:rPr>
                <w:rFonts w:ascii="Arial" w:hAnsi="Arial" w:cs="Arial"/>
                <w:noProof/>
                <w:webHidden/>
                <w:sz w:val="18"/>
                <w:szCs w:val="18"/>
              </w:rPr>
              <w:fldChar w:fldCharType="end"/>
            </w:r>
          </w:hyperlink>
        </w:p>
        <w:p w14:paraId="4E0127D1" w14:textId="3AA28F52" w:rsidR="006E2CC6" w:rsidRPr="006E2CC6" w:rsidRDefault="006A1D96">
          <w:pPr>
            <w:pStyle w:val="TDC2"/>
            <w:rPr>
              <w:rFonts w:ascii="Arial" w:hAnsi="Arial" w:cs="Arial"/>
              <w:noProof/>
              <w:sz w:val="18"/>
              <w:szCs w:val="18"/>
              <w:lang w:val="es-419" w:eastAsia="es-419"/>
            </w:rPr>
          </w:pPr>
          <w:hyperlink w:anchor="_Toc132473245" w:history="1">
            <w:r w:rsidR="006E2CC6" w:rsidRPr="006E2CC6">
              <w:rPr>
                <w:rStyle w:val="Hipervnculo"/>
                <w:rFonts w:ascii="Arial" w:hAnsi="Arial" w:cs="Arial"/>
                <w:noProof/>
                <w:sz w:val="18"/>
                <w:szCs w:val="18"/>
              </w:rPr>
              <w:t>1.1.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¿Qué es?</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_Toc132473245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w:t>
            </w:r>
            <w:r w:rsidR="006E2CC6" w:rsidRPr="006E2CC6">
              <w:rPr>
                <w:rFonts w:ascii="Arial" w:hAnsi="Arial" w:cs="Arial"/>
                <w:noProof/>
                <w:webHidden/>
                <w:sz w:val="18"/>
                <w:szCs w:val="18"/>
              </w:rPr>
              <w:fldChar w:fldCharType="end"/>
            </w:r>
          </w:hyperlink>
        </w:p>
        <w:p w14:paraId="1D616647" w14:textId="6B4F3FF0" w:rsidR="006E2CC6" w:rsidRPr="006E2CC6" w:rsidRDefault="006A1D96">
          <w:pPr>
            <w:pStyle w:val="TDC2"/>
            <w:rPr>
              <w:rFonts w:ascii="Arial" w:hAnsi="Arial" w:cs="Arial"/>
              <w:noProof/>
              <w:sz w:val="18"/>
              <w:szCs w:val="18"/>
              <w:lang w:val="es-419" w:eastAsia="es-419"/>
            </w:rPr>
          </w:pPr>
          <w:hyperlink w:anchor="_Toc132473246" w:history="1">
            <w:r w:rsidR="006E2CC6" w:rsidRPr="006E2CC6">
              <w:rPr>
                <w:rStyle w:val="Hipervnculo"/>
                <w:rFonts w:ascii="Arial" w:hAnsi="Arial" w:cs="Arial"/>
                <w:noProof/>
                <w:sz w:val="18"/>
                <w:szCs w:val="18"/>
              </w:rPr>
              <w:t>1.2.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¿A quiénes está dirigido?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_Toc132473246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w:t>
            </w:r>
            <w:r w:rsidR="006E2CC6" w:rsidRPr="006E2CC6">
              <w:rPr>
                <w:rFonts w:ascii="Arial" w:hAnsi="Arial" w:cs="Arial"/>
                <w:noProof/>
                <w:webHidden/>
                <w:sz w:val="18"/>
                <w:szCs w:val="18"/>
              </w:rPr>
              <w:fldChar w:fldCharType="end"/>
            </w:r>
          </w:hyperlink>
        </w:p>
        <w:p w14:paraId="3C9D741B" w14:textId="7F153C14" w:rsidR="006E2CC6" w:rsidRPr="006E2CC6" w:rsidRDefault="006A1D96">
          <w:pPr>
            <w:pStyle w:val="TDC2"/>
            <w:rPr>
              <w:rFonts w:ascii="Arial" w:hAnsi="Arial" w:cs="Arial"/>
              <w:noProof/>
              <w:sz w:val="18"/>
              <w:szCs w:val="18"/>
              <w:lang w:val="es-419" w:eastAsia="es-419"/>
            </w:rPr>
          </w:pPr>
          <w:hyperlink w:anchor="_Toc132473247" w:history="1">
            <w:r w:rsidR="006E2CC6" w:rsidRPr="006E2CC6">
              <w:rPr>
                <w:rStyle w:val="Hipervnculo"/>
                <w:rFonts w:ascii="Arial" w:hAnsi="Arial" w:cs="Arial"/>
                <w:noProof/>
                <w:sz w:val="18"/>
                <w:szCs w:val="18"/>
              </w:rPr>
              <w:t>1.3.</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Requisitos</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_Toc132473247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5</w:t>
            </w:r>
            <w:r w:rsidR="006E2CC6" w:rsidRPr="006E2CC6">
              <w:rPr>
                <w:rFonts w:ascii="Arial" w:hAnsi="Arial" w:cs="Arial"/>
                <w:noProof/>
                <w:webHidden/>
                <w:sz w:val="18"/>
                <w:szCs w:val="18"/>
              </w:rPr>
              <w:fldChar w:fldCharType="end"/>
            </w:r>
          </w:hyperlink>
        </w:p>
        <w:p w14:paraId="7F7C0021" w14:textId="08D4AB84" w:rsidR="006E2CC6" w:rsidRPr="006E2CC6" w:rsidRDefault="006A1D96">
          <w:pPr>
            <w:pStyle w:val="TDC3"/>
            <w:rPr>
              <w:rFonts w:ascii="Arial" w:hAnsi="Arial" w:cs="Arial"/>
              <w:noProof/>
              <w:sz w:val="18"/>
              <w:szCs w:val="18"/>
              <w:lang w:val="es-419" w:eastAsia="es-419"/>
            </w:rPr>
          </w:pPr>
          <w:hyperlink w:anchor="_Toc132473248" w:history="1">
            <w:r w:rsidR="006E2CC6" w:rsidRPr="006E2CC6">
              <w:rPr>
                <w:rStyle w:val="Hipervnculo"/>
                <w:rFonts w:ascii="Arial" w:hAnsi="Arial" w:cs="Arial"/>
                <w:noProof/>
                <w:sz w:val="18"/>
                <w:szCs w:val="18"/>
              </w:rPr>
              <w:t>1.3.1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Requisitos de admisibilidad automática</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_Toc132473248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5</w:t>
            </w:r>
            <w:r w:rsidR="006E2CC6" w:rsidRPr="006E2CC6">
              <w:rPr>
                <w:rFonts w:ascii="Arial" w:hAnsi="Arial" w:cs="Arial"/>
                <w:noProof/>
                <w:webHidden/>
                <w:sz w:val="18"/>
                <w:szCs w:val="18"/>
              </w:rPr>
              <w:fldChar w:fldCharType="end"/>
            </w:r>
          </w:hyperlink>
        </w:p>
        <w:p w14:paraId="531DE766" w14:textId="4C1ADA04" w:rsidR="006E2CC6" w:rsidRPr="006E2CC6" w:rsidRDefault="006A1D96">
          <w:pPr>
            <w:pStyle w:val="TDC3"/>
            <w:rPr>
              <w:rFonts w:ascii="Arial" w:hAnsi="Arial" w:cs="Arial"/>
              <w:noProof/>
              <w:sz w:val="18"/>
              <w:szCs w:val="18"/>
              <w:lang w:val="es-419" w:eastAsia="es-419"/>
            </w:rPr>
          </w:pPr>
          <w:hyperlink w:anchor="_Toc132473249" w:history="1">
            <w:r w:rsidR="006E2CC6" w:rsidRPr="006E2CC6">
              <w:rPr>
                <w:rStyle w:val="Hipervnculo"/>
                <w:rFonts w:ascii="Arial" w:hAnsi="Arial" w:cs="Arial"/>
                <w:noProof/>
                <w:sz w:val="18"/>
                <w:szCs w:val="18"/>
              </w:rPr>
              <w:t>1.3.2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Requisitos de validación manual</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_Toc132473249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5</w:t>
            </w:r>
            <w:r w:rsidR="006E2CC6" w:rsidRPr="006E2CC6">
              <w:rPr>
                <w:rFonts w:ascii="Arial" w:hAnsi="Arial" w:cs="Arial"/>
                <w:noProof/>
                <w:webHidden/>
                <w:sz w:val="18"/>
                <w:szCs w:val="18"/>
              </w:rPr>
              <w:fldChar w:fldCharType="end"/>
            </w:r>
          </w:hyperlink>
        </w:p>
        <w:p w14:paraId="3D43262C" w14:textId="27844663" w:rsidR="006E2CC6" w:rsidRPr="006E2CC6" w:rsidRDefault="006A1D96">
          <w:pPr>
            <w:pStyle w:val="TDC3"/>
            <w:rPr>
              <w:rFonts w:ascii="Arial" w:hAnsi="Arial" w:cs="Arial"/>
              <w:noProof/>
              <w:sz w:val="18"/>
              <w:szCs w:val="18"/>
              <w:lang w:val="es-419" w:eastAsia="es-419"/>
            </w:rPr>
          </w:pPr>
          <w:hyperlink w:anchor="_Toc132473250" w:history="1">
            <w:r w:rsidR="006E2CC6" w:rsidRPr="006E2CC6">
              <w:rPr>
                <w:rStyle w:val="Hipervnculo"/>
                <w:rFonts w:ascii="Arial" w:hAnsi="Arial" w:cs="Arial"/>
                <w:noProof/>
                <w:sz w:val="18"/>
                <w:szCs w:val="18"/>
              </w:rPr>
              <w:t>1.3.3</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Requisitos de evaluación técnica en terreno.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_Toc132473250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6</w:t>
            </w:r>
            <w:r w:rsidR="006E2CC6" w:rsidRPr="006E2CC6">
              <w:rPr>
                <w:rFonts w:ascii="Arial" w:hAnsi="Arial" w:cs="Arial"/>
                <w:noProof/>
                <w:webHidden/>
                <w:sz w:val="18"/>
                <w:szCs w:val="18"/>
              </w:rPr>
              <w:fldChar w:fldCharType="end"/>
            </w:r>
          </w:hyperlink>
        </w:p>
        <w:p w14:paraId="541C31F6" w14:textId="750E63EC" w:rsidR="006E2CC6" w:rsidRPr="006E2CC6" w:rsidRDefault="006A1D96">
          <w:pPr>
            <w:pStyle w:val="TDC3"/>
            <w:rPr>
              <w:rFonts w:ascii="Arial" w:hAnsi="Arial" w:cs="Arial"/>
              <w:noProof/>
              <w:sz w:val="18"/>
              <w:szCs w:val="18"/>
              <w:lang w:val="es-419" w:eastAsia="es-419"/>
            </w:rPr>
          </w:pPr>
          <w:hyperlink w:anchor="_Toc132473251" w:history="1">
            <w:r w:rsidR="006E2CC6" w:rsidRPr="006E2CC6">
              <w:rPr>
                <w:rStyle w:val="Hipervnculo"/>
                <w:rFonts w:ascii="Arial" w:hAnsi="Arial" w:cs="Arial"/>
                <w:noProof/>
                <w:sz w:val="18"/>
                <w:szCs w:val="18"/>
              </w:rPr>
              <w:t>1.3.4</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Requisitos y documentos necesarios para la formalización de los/as postulantes notificados como seleccionados.</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_Toc132473251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6</w:t>
            </w:r>
            <w:r w:rsidR="006E2CC6" w:rsidRPr="006E2CC6">
              <w:rPr>
                <w:rFonts w:ascii="Arial" w:hAnsi="Arial" w:cs="Arial"/>
                <w:noProof/>
                <w:webHidden/>
                <w:sz w:val="18"/>
                <w:szCs w:val="18"/>
              </w:rPr>
              <w:fldChar w:fldCharType="end"/>
            </w:r>
          </w:hyperlink>
        </w:p>
        <w:p w14:paraId="58B58B40" w14:textId="0F3AFE32" w:rsidR="006E2CC6" w:rsidRPr="006E2CC6" w:rsidRDefault="006A1D96">
          <w:pPr>
            <w:pStyle w:val="TDC2"/>
            <w:rPr>
              <w:rFonts w:ascii="Arial" w:hAnsi="Arial" w:cs="Arial"/>
              <w:noProof/>
              <w:sz w:val="18"/>
              <w:szCs w:val="18"/>
              <w:lang w:val="es-419" w:eastAsia="es-419"/>
            </w:rPr>
          </w:pPr>
          <w:hyperlink w:anchor="_Toc132473252" w:history="1">
            <w:r w:rsidR="006E2CC6" w:rsidRPr="006E2CC6">
              <w:rPr>
                <w:rStyle w:val="Hipervnculo"/>
                <w:rFonts w:ascii="Arial" w:hAnsi="Arial" w:cs="Arial"/>
                <w:noProof/>
                <w:sz w:val="18"/>
                <w:szCs w:val="18"/>
              </w:rPr>
              <w:t>1.4</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¿Qué financia?</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_Toc132473252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7</w:t>
            </w:r>
            <w:r w:rsidR="006E2CC6" w:rsidRPr="006E2CC6">
              <w:rPr>
                <w:rFonts w:ascii="Arial" w:hAnsi="Arial" w:cs="Arial"/>
                <w:noProof/>
                <w:webHidden/>
                <w:sz w:val="18"/>
                <w:szCs w:val="18"/>
              </w:rPr>
              <w:fldChar w:fldCharType="end"/>
            </w:r>
          </w:hyperlink>
        </w:p>
        <w:p w14:paraId="47ABEAC5" w14:textId="7528854A" w:rsidR="006E2CC6" w:rsidRPr="006E2CC6" w:rsidRDefault="006A1D96">
          <w:pPr>
            <w:pStyle w:val="TDC2"/>
            <w:rPr>
              <w:rFonts w:ascii="Arial" w:hAnsi="Arial" w:cs="Arial"/>
              <w:noProof/>
              <w:sz w:val="18"/>
              <w:szCs w:val="18"/>
              <w:lang w:val="es-419" w:eastAsia="es-419"/>
            </w:rPr>
          </w:pPr>
          <w:hyperlink w:anchor="_Toc132473253" w:history="1">
            <w:r w:rsidR="006E2CC6" w:rsidRPr="006E2CC6">
              <w:rPr>
                <w:rStyle w:val="Hipervnculo"/>
                <w:rFonts w:ascii="Arial" w:hAnsi="Arial" w:cs="Arial"/>
                <w:noProof/>
                <w:sz w:val="18"/>
                <w:szCs w:val="18"/>
              </w:rPr>
              <w:t>1.5</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¿Qué NO financia el instrumento?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_Toc132473253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9</w:t>
            </w:r>
            <w:r w:rsidR="006E2CC6" w:rsidRPr="006E2CC6">
              <w:rPr>
                <w:rFonts w:ascii="Arial" w:hAnsi="Arial" w:cs="Arial"/>
                <w:noProof/>
                <w:webHidden/>
                <w:sz w:val="18"/>
                <w:szCs w:val="18"/>
              </w:rPr>
              <w:fldChar w:fldCharType="end"/>
            </w:r>
          </w:hyperlink>
        </w:p>
        <w:p w14:paraId="295A5D36" w14:textId="29417A0C" w:rsidR="006E2CC6" w:rsidRPr="006E2CC6" w:rsidRDefault="006A1D96">
          <w:pPr>
            <w:pStyle w:val="TDC1"/>
            <w:rPr>
              <w:rFonts w:ascii="Arial" w:hAnsi="Arial" w:cs="Arial"/>
              <w:noProof/>
              <w:sz w:val="18"/>
              <w:szCs w:val="18"/>
              <w:lang w:val="es-419" w:eastAsia="es-419"/>
            </w:rPr>
          </w:pPr>
          <w:hyperlink w:anchor="_Toc132473254" w:history="1">
            <w:r w:rsidR="006E2CC6" w:rsidRPr="006E2CC6">
              <w:rPr>
                <w:rStyle w:val="Hipervnculo"/>
                <w:rFonts w:ascii="Arial" w:hAnsi="Arial" w:cs="Arial"/>
                <w:noProof/>
                <w:sz w:val="18"/>
                <w:szCs w:val="18"/>
              </w:rPr>
              <w:t>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Postulación</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_Toc132473254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10</w:t>
            </w:r>
            <w:r w:rsidR="006E2CC6" w:rsidRPr="006E2CC6">
              <w:rPr>
                <w:rFonts w:ascii="Arial" w:hAnsi="Arial" w:cs="Arial"/>
                <w:noProof/>
                <w:webHidden/>
                <w:sz w:val="18"/>
                <w:szCs w:val="18"/>
              </w:rPr>
              <w:fldChar w:fldCharType="end"/>
            </w:r>
          </w:hyperlink>
        </w:p>
        <w:p w14:paraId="0AB6ABB3" w14:textId="5B15CA43" w:rsidR="006E2CC6" w:rsidRPr="006E2CC6" w:rsidRDefault="006A1D96">
          <w:pPr>
            <w:pStyle w:val="TDC2"/>
            <w:rPr>
              <w:rFonts w:ascii="Arial" w:hAnsi="Arial" w:cs="Arial"/>
              <w:noProof/>
              <w:sz w:val="18"/>
              <w:szCs w:val="18"/>
              <w:lang w:val="es-419" w:eastAsia="es-419"/>
            </w:rPr>
          </w:pPr>
          <w:hyperlink w:anchor="_Toc132473255" w:history="1">
            <w:r w:rsidR="006E2CC6" w:rsidRPr="006E2CC6">
              <w:rPr>
                <w:rStyle w:val="Hipervnculo"/>
                <w:rFonts w:ascii="Arial" w:hAnsi="Arial" w:cs="Arial"/>
                <w:noProof/>
                <w:sz w:val="18"/>
                <w:szCs w:val="18"/>
              </w:rPr>
              <w:t>2.1.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Plazos de postulación</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_Toc132473255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10</w:t>
            </w:r>
            <w:r w:rsidR="006E2CC6" w:rsidRPr="006E2CC6">
              <w:rPr>
                <w:rFonts w:ascii="Arial" w:hAnsi="Arial" w:cs="Arial"/>
                <w:noProof/>
                <w:webHidden/>
                <w:sz w:val="18"/>
                <w:szCs w:val="18"/>
              </w:rPr>
              <w:fldChar w:fldCharType="end"/>
            </w:r>
          </w:hyperlink>
        </w:p>
        <w:p w14:paraId="1CE5A5A8" w14:textId="2A31F099" w:rsidR="006E2CC6" w:rsidRPr="006E2CC6" w:rsidRDefault="006A1D96">
          <w:pPr>
            <w:pStyle w:val="TDC2"/>
            <w:rPr>
              <w:rFonts w:ascii="Arial" w:hAnsi="Arial" w:cs="Arial"/>
              <w:noProof/>
              <w:sz w:val="18"/>
              <w:szCs w:val="18"/>
              <w:lang w:val="es-419" w:eastAsia="es-419"/>
            </w:rPr>
          </w:pPr>
          <w:hyperlink w:anchor="_Toc132473256" w:history="1">
            <w:r w:rsidR="006E2CC6" w:rsidRPr="006E2CC6">
              <w:rPr>
                <w:rStyle w:val="Hipervnculo"/>
                <w:rFonts w:ascii="Arial" w:hAnsi="Arial" w:cs="Arial"/>
                <w:noProof/>
                <w:sz w:val="18"/>
                <w:szCs w:val="18"/>
              </w:rPr>
              <w:t>2.2.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Pasos para postular</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_Toc132473256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10</w:t>
            </w:r>
            <w:r w:rsidR="006E2CC6" w:rsidRPr="006E2CC6">
              <w:rPr>
                <w:rFonts w:ascii="Arial" w:hAnsi="Arial" w:cs="Arial"/>
                <w:noProof/>
                <w:webHidden/>
                <w:sz w:val="18"/>
                <w:szCs w:val="18"/>
              </w:rPr>
              <w:fldChar w:fldCharType="end"/>
            </w:r>
          </w:hyperlink>
        </w:p>
        <w:p w14:paraId="3110D747" w14:textId="537C5964" w:rsidR="006E2CC6" w:rsidRPr="006E2CC6" w:rsidRDefault="006A1D96">
          <w:pPr>
            <w:pStyle w:val="TDC1"/>
            <w:rPr>
              <w:rFonts w:ascii="Arial" w:hAnsi="Arial" w:cs="Arial"/>
              <w:noProof/>
              <w:sz w:val="18"/>
              <w:szCs w:val="18"/>
              <w:lang w:val="es-419" w:eastAsia="es-419"/>
            </w:rPr>
          </w:pPr>
          <w:hyperlink w:anchor="_Toc132473257" w:history="1">
            <w:r w:rsidR="006E2CC6" w:rsidRPr="006E2CC6">
              <w:rPr>
                <w:rStyle w:val="Hipervnculo"/>
                <w:rFonts w:ascii="Arial" w:hAnsi="Arial" w:cs="Arial"/>
                <w:noProof/>
                <w:sz w:val="18"/>
                <w:szCs w:val="18"/>
              </w:rPr>
              <w:t>3.</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y selección.</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_Toc132473257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12</w:t>
            </w:r>
            <w:r w:rsidR="006E2CC6" w:rsidRPr="006E2CC6">
              <w:rPr>
                <w:rFonts w:ascii="Arial" w:hAnsi="Arial" w:cs="Arial"/>
                <w:noProof/>
                <w:webHidden/>
                <w:sz w:val="18"/>
                <w:szCs w:val="18"/>
              </w:rPr>
              <w:fldChar w:fldCharType="end"/>
            </w:r>
          </w:hyperlink>
        </w:p>
        <w:p w14:paraId="6E1F8FF0" w14:textId="5A0E027A" w:rsidR="006E2CC6" w:rsidRPr="006E2CC6" w:rsidRDefault="006A1D96">
          <w:pPr>
            <w:pStyle w:val="TDC2"/>
            <w:rPr>
              <w:rFonts w:ascii="Arial" w:hAnsi="Arial" w:cs="Arial"/>
              <w:noProof/>
              <w:sz w:val="18"/>
              <w:szCs w:val="18"/>
              <w:lang w:val="es-419" w:eastAsia="es-419"/>
            </w:rPr>
          </w:pPr>
          <w:hyperlink w:anchor="_Toc132473258" w:history="1">
            <w:r w:rsidR="006E2CC6" w:rsidRPr="006E2CC6">
              <w:rPr>
                <w:rStyle w:val="Hipervnculo"/>
                <w:rFonts w:ascii="Arial" w:hAnsi="Arial" w:cs="Arial"/>
                <w:noProof/>
                <w:sz w:val="18"/>
                <w:szCs w:val="18"/>
              </w:rPr>
              <w:t>3.1.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Admisibilidad de requisitos y evaluación técnica del proyecto.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_Toc132473258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12</w:t>
            </w:r>
            <w:r w:rsidR="006E2CC6" w:rsidRPr="006E2CC6">
              <w:rPr>
                <w:rFonts w:ascii="Arial" w:hAnsi="Arial" w:cs="Arial"/>
                <w:noProof/>
                <w:webHidden/>
                <w:sz w:val="18"/>
                <w:szCs w:val="18"/>
              </w:rPr>
              <w:fldChar w:fldCharType="end"/>
            </w:r>
          </w:hyperlink>
        </w:p>
        <w:p w14:paraId="4BE1DF86" w14:textId="2223BD53" w:rsidR="006E2CC6" w:rsidRPr="006E2CC6" w:rsidRDefault="006A1D96">
          <w:pPr>
            <w:pStyle w:val="TDC3"/>
            <w:rPr>
              <w:rFonts w:ascii="Arial" w:hAnsi="Arial" w:cs="Arial"/>
              <w:noProof/>
              <w:sz w:val="18"/>
              <w:szCs w:val="18"/>
              <w:lang w:val="es-419" w:eastAsia="es-419"/>
            </w:rPr>
          </w:pPr>
          <w:hyperlink w:anchor="_Toc132473259" w:history="1">
            <w:r w:rsidR="006E2CC6" w:rsidRPr="006E2CC6">
              <w:rPr>
                <w:rStyle w:val="Hipervnculo"/>
                <w:rFonts w:ascii="Arial" w:hAnsi="Arial" w:cs="Arial"/>
                <w:noProof/>
                <w:sz w:val="18"/>
                <w:szCs w:val="18"/>
              </w:rPr>
              <w:t>3.1.1.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de admisibilidad automática</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_Toc132473259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12</w:t>
            </w:r>
            <w:r w:rsidR="006E2CC6" w:rsidRPr="006E2CC6">
              <w:rPr>
                <w:rFonts w:ascii="Arial" w:hAnsi="Arial" w:cs="Arial"/>
                <w:noProof/>
                <w:webHidden/>
                <w:sz w:val="18"/>
                <w:szCs w:val="18"/>
              </w:rPr>
              <w:fldChar w:fldCharType="end"/>
            </w:r>
          </w:hyperlink>
        </w:p>
        <w:p w14:paraId="334902E7" w14:textId="625BCACC" w:rsidR="006E2CC6" w:rsidRPr="006E2CC6" w:rsidRDefault="006A1D96">
          <w:pPr>
            <w:pStyle w:val="TDC3"/>
            <w:rPr>
              <w:rFonts w:ascii="Arial" w:hAnsi="Arial" w:cs="Arial"/>
              <w:noProof/>
              <w:sz w:val="18"/>
              <w:szCs w:val="18"/>
              <w:lang w:val="es-419" w:eastAsia="es-419"/>
            </w:rPr>
          </w:pPr>
          <w:hyperlink w:anchor="_Toc132473260" w:history="1">
            <w:r w:rsidR="006E2CC6" w:rsidRPr="006E2CC6">
              <w:rPr>
                <w:rStyle w:val="Hipervnculo"/>
                <w:rFonts w:ascii="Arial" w:hAnsi="Arial" w:cs="Arial"/>
                <w:noProof/>
                <w:sz w:val="18"/>
                <w:szCs w:val="18"/>
              </w:rPr>
              <w:t>3.1.2.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de admisibilidad manual</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_Toc132473260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12</w:t>
            </w:r>
            <w:r w:rsidR="006E2CC6" w:rsidRPr="006E2CC6">
              <w:rPr>
                <w:rFonts w:ascii="Arial" w:hAnsi="Arial" w:cs="Arial"/>
                <w:noProof/>
                <w:webHidden/>
                <w:sz w:val="18"/>
                <w:szCs w:val="18"/>
              </w:rPr>
              <w:fldChar w:fldCharType="end"/>
            </w:r>
          </w:hyperlink>
        </w:p>
        <w:p w14:paraId="13012EFD" w14:textId="212C2805" w:rsidR="006E2CC6" w:rsidRPr="006E2CC6" w:rsidRDefault="006A1D96">
          <w:pPr>
            <w:pStyle w:val="TDC3"/>
            <w:rPr>
              <w:rFonts w:ascii="Arial" w:hAnsi="Arial" w:cs="Arial"/>
              <w:noProof/>
              <w:sz w:val="18"/>
              <w:szCs w:val="18"/>
              <w:lang w:val="es-419" w:eastAsia="es-419"/>
            </w:rPr>
          </w:pPr>
          <w:hyperlink w:anchor="_Toc132473261" w:history="1">
            <w:r w:rsidR="006E2CC6" w:rsidRPr="006E2CC6">
              <w:rPr>
                <w:rStyle w:val="Hipervnculo"/>
                <w:rFonts w:ascii="Arial" w:hAnsi="Arial" w:cs="Arial"/>
                <w:noProof/>
                <w:sz w:val="18"/>
                <w:szCs w:val="18"/>
              </w:rPr>
              <w:t>3.1.3.</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técnica del proyecto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_Toc132473261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13</w:t>
            </w:r>
            <w:r w:rsidR="006E2CC6" w:rsidRPr="006E2CC6">
              <w:rPr>
                <w:rFonts w:ascii="Arial" w:hAnsi="Arial" w:cs="Arial"/>
                <w:noProof/>
                <w:webHidden/>
                <w:sz w:val="18"/>
                <w:szCs w:val="18"/>
              </w:rPr>
              <w:fldChar w:fldCharType="end"/>
            </w:r>
          </w:hyperlink>
        </w:p>
        <w:p w14:paraId="2F7455EF" w14:textId="6CB02D5D" w:rsidR="006E2CC6" w:rsidRPr="006E2CC6" w:rsidRDefault="006A1D96">
          <w:pPr>
            <w:pStyle w:val="TDC2"/>
            <w:rPr>
              <w:rFonts w:ascii="Arial" w:hAnsi="Arial" w:cs="Arial"/>
              <w:noProof/>
              <w:sz w:val="18"/>
              <w:szCs w:val="18"/>
              <w:lang w:val="es-419" w:eastAsia="es-419"/>
            </w:rPr>
          </w:pPr>
          <w:hyperlink w:anchor="_Toc132473262" w:history="1">
            <w:r w:rsidR="006E2CC6" w:rsidRPr="006E2CC6">
              <w:rPr>
                <w:rStyle w:val="Hipervnculo"/>
                <w:rFonts w:ascii="Arial" w:hAnsi="Arial" w:cs="Arial"/>
                <w:noProof/>
                <w:sz w:val="18"/>
                <w:szCs w:val="18"/>
              </w:rPr>
              <w:t>3.2.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técnica en terreno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_Toc132473262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13</w:t>
            </w:r>
            <w:r w:rsidR="006E2CC6" w:rsidRPr="006E2CC6">
              <w:rPr>
                <w:rFonts w:ascii="Arial" w:hAnsi="Arial" w:cs="Arial"/>
                <w:noProof/>
                <w:webHidden/>
                <w:sz w:val="18"/>
                <w:szCs w:val="18"/>
              </w:rPr>
              <w:fldChar w:fldCharType="end"/>
            </w:r>
          </w:hyperlink>
        </w:p>
        <w:p w14:paraId="1D118A3E" w14:textId="69A0D617" w:rsidR="006E2CC6" w:rsidRPr="006E2CC6" w:rsidRDefault="006A1D96">
          <w:pPr>
            <w:pStyle w:val="TDC2"/>
            <w:rPr>
              <w:rFonts w:ascii="Arial" w:hAnsi="Arial" w:cs="Arial"/>
              <w:noProof/>
              <w:sz w:val="18"/>
              <w:szCs w:val="18"/>
              <w:lang w:val="es-419" w:eastAsia="es-419"/>
            </w:rPr>
          </w:pPr>
          <w:hyperlink w:anchor="_Toc132473263" w:history="1">
            <w:r w:rsidR="006E2CC6" w:rsidRPr="006E2CC6">
              <w:rPr>
                <w:rStyle w:val="Hipervnculo"/>
                <w:rFonts w:ascii="Arial" w:hAnsi="Arial" w:cs="Arial"/>
                <w:noProof/>
                <w:sz w:val="18"/>
                <w:szCs w:val="18"/>
              </w:rPr>
              <w:t>3.3.</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Evaluación y asignación de recursos del Comité de Evaluación Regional (CER)</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_Toc132473263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14</w:t>
            </w:r>
            <w:r w:rsidR="006E2CC6" w:rsidRPr="006E2CC6">
              <w:rPr>
                <w:rFonts w:ascii="Arial" w:hAnsi="Arial" w:cs="Arial"/>
                <w:noProof/>
                <w:webHidden/>
                <w:sz w:val="18"/>
                <w:szCs w:val="18"/>
              </w:rPr>
              <w:fldChar w:fldCharType="end"/>
            </w:r>
          </w:hyperlink>
        </w:p>
        <w:p w14:paraId="44F12CE3" w14:textId="38AC8B5B" w:rsidR="006E2CC6" w:rsidRPr="006E2CC6" w:rsidRDefault="006A1D96">
          <w:pPr>
            <w:pStyle w:val="TDC1"/>
            <w:rPr>
              <w:rFonts w:ascii="Arial" w:hAnsi="Arial" w:cs="Arial"/>
              <w:noProof/>
              <w:sz w:val="18"/>
              <w:szCs w:val="18"/>
              <w:lang w:val="es-419" w:eastAsia="es-419"/>
            </w:rPr>
          </w:pPr>
          <w:hyperlink w:anchor="_Toc132473264" w:history="1">
            <w:r w:rsidR="006E2CC6" w:rsidRPr="006E2CC6">
              <w:rPr>
                <w:rStyle w:val="Hipervnculo"/>
                <w:rFonts w:ascii="Arial" w:hAnsi="Arial" w:cs="Arial"/>
                <w:noProof/>
                <w:sz w:val="18"/>
                <w:szCs w:val="18"/>
              </w:rPr>
              <w:t>4.</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Formalización</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_Toc132473264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16</w:t>
            </w:r>
            <w:r w:rsidR="006E2CC6" w:rsidRPr="006E2CC6">
              <w:rPr>
                <w:rFonts w:ascii="Arial" w:hAnsi="Arial" w:cs="Arial"/>
                <w:noProof/>
                <w:webHidden/>
                <w:sz w:val="18"/>
                <w:szCs w:val="18"/>
              </w:rPr>
              <w:fldChar w:fldCharType="end"/>
            </w:r>
          </w:hyperlink>
        </w:p>
        <w:p w14:paraId="7353DB6D" w14:textId="761B3D15" w:rsidR="006E2CC6" w:rsidRPr="006E2CC6" w:rsidRDefault="006A1D96">
          <w:pPr>
            <w:pStyle w:val="TDC2"/>
            <w:rPr>
              <w:rFonts w:ascii="Arial" w:hAnsi="Arial" w:cs="Arial"/>
              <w:noProof/>
              <w:sz w:val="18"/>
              <w:szCs w:val="18"/>
              <w:lang w:val="es-419" w:eastAsia="es-419"/>
            </w:rPr>
          </w:pPr>
          <w:hyperlink w:anchor="_Toc132473265" w:history="1">
            <w:r w:rsidR="006E2CC6" w:rsidRPr="006E2CC6">
              <w:rPr>
                <w:rStyle w:val="Hipervnculo"/>
                <w:rFonts w:ascii="Arial" w:hAnsi="Arial" w:cs="Arial"/>
                <w:noProof/>
                <w:sz w:val="18"/>
                <w:szCs w:val="18"/>
              </w:rPr>
              <w:t>4.1.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Para la firma del contrato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_Toc132473265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16</w:t>
            </w:r>
            <w:r w:rsidR="006E2CC6" w:rsidRPr="006E2CC6">
              <w:rPr>
                <w:rFonts w:ascii="Arial" w:hAnsi="Arial" w:cs="Arial"/>
                <w:noProof/>
                <w:webHidden/>
                <w:sz w:val="18"/>
                <w:szCs w:val="18"/>
              </w:rPr>
              <w:fldChar w:fldCharType="end"/>
            </w:r>
          </w:hyperlink>
        </w:p>
        <w:p w14:paraId="7315D211" w14:textId="2DAC8D4E" w:rsidR="006E2CC6" w:rsidRPr="006E2CC6" w:rsidRDefault="006A1D96">
          <w:pPr>
            <w:pStyle w:val="TDC2"/>
            <w:rPr>
              <w:rFonts w:ascii="Arial" w:hAnsi="Arial" w:cs="Arial"/>
              <w:noProof/>
              <w:sz w:val="18"/>
              <w:szCs w:val="18"/>
              <w:lang w:val="es-419" w:eastAsia="es-419"/>
            </w:rPr>
          </w:pPr>
          <w:hyperlink w:anchor="_Toc132473266" w:history="1">
            <w:r w:rsidR="006E2CC6" w:rsidRPr="006E2CC6">
              <w:rPr>
                <w:rStyle w:val="Hipervnculo"/>
                <w:rFonts w:ascii="Arial" w:hAnsi="Arial" w:cs="Arial"/>
                <w:noProof/>
                <w:sz w:val="18"/>
                <w:szCs w:val="18"/>
              </w:rPr>
              <w:t>5.</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Ejecución</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_Toc132473266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17</w:t>
            </w:r>
            <w:r w:rsidR="006E2CC6" w:rsidRPr="006E2CC6">
              <w:rPr>
                <w:rFonts w:ascii="Arial" w:hAnsi="Arial" w:cs="Arial"/>
                <w:noProof/>
                <w:webHidden/>
                <w:sz w:val="18"/>
                <w:szCs w:val="18"/>
              </w:rPr>
              <w:fldChar w:fldCharType="end"/>
            </w:r>
          </w:hyperlink>
        </w:p>
        <w:p w14:paraId="2728BE8E" w14:textId="09DF949A" w:rsidR="006E2CC6" w:rsidRPr="006E2CC6" w:rsidRDefault="006A1D96">
          <w:pPr>
            <w:pStyle w:val="TDC2"/>
            <w:rPr>
              <w:rFonts w:ascii="Arial" w:hAnsi="Arial" w:cs="Arial"/>
              <w:noProof/>
              <w:sz w:val="18"/>
              <w:szCs w:val="18"/>
              <w:lang w:val="es-419" w:eastAsia="es-419"/>
            </w:rPr>
          </w:pPr>
          <w:hyperlink w:anchor="_Toc132473267" w:history="1">
            <w:r w:rsidR="006E2CC6" w:rsidRPr="006E2CC6">
              <w:rPr>
                <w:rStyle w:val="Hipervnculo"/>
                <w:rFonts w:ascii="Arial" w:hAnsi="Arial" w:cs="Arial"/>
                <w:noProof/>
                <w:sz w:val="18"/>
                <w:szCs w:val="18"/>
              </w:rPr>
              <w:t>5.1</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Término anticipado del contrato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_Toc132473267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19</w:t>
            </w:r>
            <w:r w:rsidR="006E2CC6" w:rsidRPr="006E2CC6">
              <w:rPr>
                <w:rFonts w:ascii="Arial" w:hAnsi="Arial" w:cs="Arial"/>
                <w:noProof/>
                <w:webHidden/>
                <w:sz w:val="18"/>
                <w:szCs w:val="18"/>
              </w:rPr>
              <w:fldChar w:fldCharType="end"/>
            </w:r>
          </w:hyperlink>
        </w:p>
        <w:p w14:paraId="6123021C" w14:textId="04FF4E31" w:rsidR="006E2CC6" w:rsidRPr="006E2CC6" w:rsidRDefault="006A1D96">
          <w:pPr>
            <w:pStyle w:val="TDC2"/>
            <w:rPr>
              <w:rFonts w:ascii="Arial" w:hAnsi="Arial" w:cs="Arial"/>
              <w:noProof/>
              <w:sz w:val="18"/>
              <w:szCs w:val="18"/>
              <w:lang w:val="es-419" w:eastAsia="es-419"/>
            </w:rPr>
          </w:pPr>
          <w:hyperlink w:anchor="_Toc132473268" w:history="1">
            <w:r w:rsidR="006E2CC6" w:rsidRPr="006E2CC6">
              <w:rPr>
                <w:rStyle w:val="Hipervnculo"/>
                <w:rFonts w:ascii="Arial" w:hAnsi="Arial" w:cs="Arial"/>
                <w:noProof/>
                <w:sz w:val="18"/>
                <w:szCs w:val="18"/>
              </w:rPr>
              <w:t>5.2</w:t>
            </w:r>
            <w:r w:rsidR="006E2CC6" w:rsidRPr="006E2CC6">
              <w:rPr>
                <w:rFonts w:ascii="Arial" w:hAnsi="Arial" w:cs="Arial"/>
                <w:noProof/>
                <w:sz w:val="18"/>
                <w:szCs w:val="18"/>
                <w:lang w:val="es-419" w:eastAsia="es-419"/>
              </w:rPr>
              <w:tab/>
            </w:r>
            <w:r w:rsidR="006E2CC6" w:rsidRPr="006E2CC6">
              <w:rPr>
                <w:rStyle w:val="Hipervnculo"/>
                <w:rFonts w:ascii="Arial" w:hAnsi="Arial" w:cs="Arial"/>
                <w:noProof/>
                <w:sz w:val="18"/>
                <w:szCs w:val="18"/>
              </w:rPr>
              <w:t>Incumplimiento del Contrato (verificado con posterioridad a la vigencia del contrato).</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_Toc132473268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21</w:t>
            </w:r>
            <w:r w:rsidR="006E2CC6" w:rsidRPr="006E2CC6">
              <w:rPr>
                <w:rFonts w:ascii="Arial" w:hAnsi="Arial" w:cs="Arial"/>
                <w:noProof/>
                <w:webHidden/>
                <w:sz w:val="18"/>
                <w:szCs w:val="18"/>
              </w:rPr>
              <w:fldChar w:fldCharType="end"/>
            </w:r>
          </w:hyperlink>
        </w:p>
        <w:p w14:paraId="1714D2AD" w14:textId="079B407E" w:rsidR="006E2CC6" w:rsidRPr="006E2CC6" w:rsidRDefault="006A1D96">
          <w:pPr>
            <w:pStyle w:val="TDC2"/>
            <w:rPr>
              <w:rFonts w:ascii="Arial" w:hAnsi="Arial" w:cs="Arial"/>
              <w:noProof/>
              <w:sz w:val="18"/>
              <w:szCs w:val="18"/>
              <w:lang w:val="es-419" w:eastAsia="es-419"/>
            </w:rPr>
          </w:pPr>
          <w:hyperlink w:anchor="_Toc132473269" w:history="1">
            <w:r w:rsidR="006E2CC6" w:rsidRPr="006E2CC6">
              <w:rPr>
                <w:rStyle w:val="Hipervnculo"/>
                <w:rFonts w:ascii="Arial" w:hAnsi="Arial" w:cs="Arial"/>
                <w:noProof/>
                <w:sz w:val="18"/>
                <w:szCs w:val="18"/>
              </w:rPr>
              <w:t>5.3 Otros</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_Toc132473269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22</w:t>
            </w:r>
            <w:r w:rsidR="006E2CC6" w:rsidRPr="006E2CC6">
              <w:rPr>
                <w:rFonts w:ascii="Arial" w:hAnsi="Arial" w:cs="Arial"/>
                <w:noProof/>
                <w:webHidden/>
                <w:sz w:val="18"/>
                <w:szCs w:val="18"/>
              </w:rPr>
              <w:fldChar w:fldCharType="end"/>
            </w:r>
          </w:hyperlink>
        </w:p>
        <w:p w14:paraId="14E2FCE9" w14:textId="7D26262B" w:rsidR="006E2CC6" w:rsidRPr="006E2CC6" w:rsidRDefault="006A1D96">
          <w:pPr>
            <w:pStyle w:val="TDC1"/>
            <w:rPr>
              <w:rFonts w:ascii="Arial" w:hAnsi="Arial" w:cs="Arial"/>
              <w:noProof/>
              <w:sz w:val="18"/>
              <w:szCs w:val="18"/>
              <w:lang w:val="es-419" w:eastAsia="es-419"/>
            </w:rPr>
          </w:pPr>
          <w:hyperlink w:anchor="_Toc132473270" w:history="1">
            <w:r w:rsidR="006E2CC6" w:rsidRPr="006E2CC6">
              <w:rPr>
                <w:rStyle w:val="Hipervnculo"/>
                <w:rFonts w:ascii="Arial" w:hAnsi="Arial" w:cs="Arial"/>
                <w:noProof/>
                <w:sz w:val="18"/>
                <w:szCs w:val="18"/>
              </w:rPr>
              <w:t>ANEXO N° 1</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_Toc132473270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25</w:t>
            </w:r>
            <w:r w:rsidR="006E2CC6" w:rsidRPr="006E2CC6">
              <w:rPr>
                <w:rFonts w:ascii="Arial" w:hAnsi="Arial" w:cs="Arial"/>
                <w:noProof/>
                <w:webHidden/>
                <w:sz w:val="18"/>
                <w:szCs w:val="18"/>
              </w:rPr>
              <w:fldChar w:fldCharType="end"/>
            </w:r>
          </w:hyperlink>
        </w:p>
        <w:p w14:paraId="630D23C0" w14:textId="1A497BE2" w:rsidR="006E2CC6" w:rsidRPr="006E2CC6" w:rsidRDefault="006A1D96">
          <w:pPr>
            <w:pStyle w:val="TDC1"/>
            <w:rPr>
              <w:rFonts w:ascii="Arial" w:hAnsi="Arial" w:cs="Arial"/>
              <w:noProof/>
              <w:sz w:val="18"/>
              <w:szCs w:val="18"/>
              <w:lang w:val="es-419" w:eastAsia="es-419"/>
            </w:rPr>
          </w:pPr>
          <w:hyperlink w:anchor="_Toc132473271" w:history="1">
            <w:r w:rsidR="006E2CC6" w:rsidRPr="006E2CC6">
              <w:rPr>
                <w:rStyle w:val="Hipervnculo"/>
                <w:rFonts w:ascii="Arial" w:hAnsi="Arial" w:cs="Arial"/>
                <w:noProof/>
                <w:sz w:val="18"/>
                <w:szCs w:val="18"/>
              </w:rPr>
              <w:t>ANEXO N° 2.B</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_Toc132473271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32</w:t>
            </w:r>
            <w:r w:rsidR="006E2CC6" w:rsidRPr="006E2CC6">
              <w:rPr>
                <w:rFonts w:ascii="Arial" w:hAnsi="Arial" w:cs="Arial"/>
                <w:noProof/>
                <w:webHidden/>
                <w:sz w:val="18"/>
                <w:szCs w:val="18"/>
              </w:rPr>
              <w:fldChar w:fldCharType="end"/>
            </w:r>
          </w:hyperlink>
        </w:p>
        <w:p w14:paraId="0A2163EE" w14:textId="0EFFC953" w:rsidR="006E2CC6" w:rsidRPr="006E2CC6" w:rsidRDefault="006A1D96">
          <w:pPr>
            <w:pStyle w:val="TDC1"/>
            <w:rPr>
              <w:rFonts w:ascii="Arial" w:hAnsi="Arial" w:cs="Arial"/>
              <w:noProof/>
              <w:sz w:val="18"/>
              <w:szCs w:val="18"/>
              <w:lang w:val="es-419" w:eastAsia="es-419"/>
            </w:rPr>
          </w:pPr>
          <w:hyperlink w:anchor="_Toc132473272" w:history="1">
            <w:r w:rsidR="006E2CC6" w:rsidRPr="006E2CC6">
              <w:rPr>
                <w:rStyle w:val="Hipervnculo"/>
                <w:rFonts w:ascii="Arial" w:hAnsi="Arial" w:cs="Arial"/>
                <w:noProof/>
                <w:sz w:val="18"/>
                <w:szCs w:val="18"/>
              </w:rPr>
              <w:t>ANEXO N° 2.C</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_Toc132473272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33</w:t>
            </w:r>
            <w:r w:rsidR="006E2CC6" w:rsidRPr="006E2CC6">
              <w:rPr>
                <w:rFonts w:ascii="Arial" w:hAnsi="Arial" w:cs="Arial"/>
                <w:noProof/>
                <w:webHidden/>
                <w:sz w:val="18"/>
                <w:szCs w:val="18"/>
              </w:rPr>
              <w:fldChar w:fldCharType="end"/>
            </w:r>
          </w:hyperlink>
        </w:p>
        <w:p w14:paraId="3E035982" w14:textId="4741B12A" w:rsidR="006E2CC6" w:rsidRPr="006E2CC6" w:rsidRDefault="006A1D96">
          <w:pPr>
            <w:pStyle w:val="TDC1"/>
            <w:rPr>
              <w:rFonts w:ascii="Arial" w:hAnsi="Arial" w:cs="Arial"/>
              <w:noProof/>
              <w:sz w:val="18"/>
              <w:szCs w:val="18"/>
              <w:lang w:val="es-419" w:eastAsia="es-419"/>
            </w:rPr>
          </w:pPr>
          <w:hyperlink w:anchor="_Toc132473273" w:history="1">
            <w:r w:rsidR="006E2CC6" w:rsidRPr="006E2CC6">
              <w:rPr>
                <w:rStyle w:val="Hipervnculo"/>
                <w:rFonts w:ascii="Arial" w:hAnsi="Arial" w:cs="Arial"/>
                <w:noProof/>
                <w:sz w:val="18"/>
                <w:szCs w:val="18"/>
              </w:rPr>
              <w:t>ANEXO N°3.A</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_Toc132473273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34</w:t>
            </w:r>
            <w:r w:rsidR="006E2CC6" w:rsidRPr="006E2CC6">
              <w:rPr>
                <w:rFonts w:ascii="Arial" w:hAnsi="Arial" w:cs="Arial"/>
                <w:noProof/>
                <w:webHidden/>
                <w:sz w:val="18"/>
                <w:szCs w:val="18"/>
              </w:rPr>
              <w:fldChar w:fldCharType="end"/>
            </w:r>
          </w:hyperlink>
        </w:p>
        <w:p w14:paraId="218DA4F9" w14:textId="49651F05" w:rsidR="006E2CC6" w:rsidRPr="006E2CC6" w:rsidRDefault="006A1D96">
          <w:pPr>
            <w:pStyle w:val="TDC1"/>
            <w:rPr>
              <w:rFonts w:ascii="Arial" w:hAnsi="Arial" w:cs="Arial"/>
              <w:noProof/>
              <w:sz w:val="18"/>
              <w:szCs w:val="18"/>
              <w:lang w:val="es-419" w:eastAsia="es-419"/>
            </w:rPr>
          </w:pPr>
          <w:hyperlink w:anchor="_Toc132473274" w:history="1">
            <w:r w:rsidR="006E2CC6" w:rsidRPr="006E2CC6">
              <w:rPr>
                <w:rStyle w:val="Hipervnculo"/>
                <w:rFonts w:ascii="Arial" w:hAnsi="Arial" w:cs="Arial"/>
                <w:noProof/>
                <w:sz w:val="18"/>
                <w:szCs w:val="18"/>
              </w:rPr>
              <w:t>ANEXO N°3.B</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_Toc132473274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35</w:t>
            </w:r>
            <w:r w:rsidR="006E2CC6" w:rsidRPr="006E2CC6">
              <w:rPr>
                <w:rFonts w:ascii="Arial" w:hAnsi="Arial" w:cs="Arial"/>
                <w:noProof/>
                <w:webHidden/>
                <w:sz w:val="18"/>
                <w:szCs w:val="18"/>
              </w:rPr>
              <w:fldChar w:fldCharType="end"/>
            </w:r>
          </w:hyperlink>
        </w:p>
        <w:p w14:paraId="51FEA8A4" w14:textId="6025A765" w:rsidR="006E2CC6" w:rsidRPr="006E2CC6" w:rsidRDefault="006A1D96">
          <w:pPr>
            <w:pStyle w:val="TDC1"/>
            <w:rPr>
              <w:rFonts w:ascii="Arial" w:hAnsi="Arial" w:cs="Arial"/>
              <w:noProof/>
              <w:sz w:val="18"/>
              <w:szCs w:val="18"/>
              <w:lang w:val="es-419" w:eastAsia="es-419"/>
            </w:rPr>
          </w:pPr>
          <w:hyperlink w:anchor="_Toc132473275" w:history="1">
            <w:r w:rsidR="006E2CC6" w:rsidRPr="006E2CC6">
              <w:rPr>
                <w:rStyle w:val="Hipervnculo"/>
                <w:rFonts w:ascii="Arial" w:hAnsi="Arial" w:cs="Arial"/>
                <w:noProof/>
                <w:sz w:val="18"/>
                <w:szCs w:val="18"/>
              </w:rPr>
              <w:t>ANEXO N°3.C</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_Toc132473275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36</w:t>
            </w:r>
            <w:r w:rsidR="006E2CC6" w:rsidRPr="006E2CC6">
              <w:rPr>
                <w:rFonts w:ascii="Arial" w:hAnsi="Arial" w:cs="Arial"/>
                <w:noProof/>
                <w:webHidden/>
                <w:sz w:val="18"/>
                <w:szCs w:val="18"/>
              </w:rPr>
              <w:fldChar w:fldCharType="end"/>
            </w:r>
          </w:hyperlink>
        </w:p>
        <w:p w14:paraId="319880A8" w14:textId="025D523E" w:rsidR="006E2CC6" w:rsidRPr="006E2CC6" w:rsidRDefault="006A1D96">
          <w:pPr>
            <w:pStyle w:val="TDC1"/>
            <w:rPr>
              <w:rFonts w:ascii="Arial" w:hAnsi="Arial" w:cs="Arial"/>
              <w:noProof/>
              <w:sz w:val="18"/>
              <w:szCs w:val="18"/>
              <w:lang w:val="es-419" w:eastAsia="es-419"/>
            </w:rPr>
          </w:pPr>
          <w:hyperlink w:anchor="_Toc132473276" w:history="1">
            <w:r w:rsidR="006E2CC6" w:rsidRPr="006E2CC6">
              <w:rPr>
                <w:rStyle w:val="Hipervnculo"/>
                <w:rFonts w:ascii="Arial" w:hAnsi="Arial" w:cs="Arial"/>
                <w:noProof/>
                <w:sz w:val="18"/>
                <w:szCs w:val="18"/>
              </w:rPr>
              <w:t>ANEXO N°4</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_Toc132473276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37</w:t>
            </w:r>
            <w:r w:rsidR="006E2CC6" w:rsidRPr="006E2CC6">
              <w:rPr>
                <w:rFonts w:ascii="Arial" w:hAnsi="Arial" w:cs="Arial"/>
                <w:noProof/>
                <w:webHidden/>
                <w:sz w:val="18"/>
                <w:szCs w:val="18"/>
              </w:rPr>
              <w:fldChar w:fldCharType="end"/>
            </w:r>
          </w:hyperlink>
        </w:p>
        <w:p w14:paraId="428C8825" w14:textId="2217F600" w:rsidR="006E2CC6" w:rsidRPr="006E2CC6" w:rsidRDefault="006A1D96">
          <w:pPr>
            <w:pStyle w:val="TDC1"/>
            <w:rPr>
              <w:rFonts w:ascii="Arial" w:hAnsi="Arial" w:cs="Arial"/>
              <w:noProof/>
              <w:sz w:val="18"/>
              <w:szCs w:val="18"/>
              <w:lang w:val="es-419" w:eastAsia="es-419"/>
            </w:rPr>
          </w:pPr>
          <w:hyperlink w:anchor="_Toc132473277" w:history="1">
            <w:r w:rsidR="006E2CC6" w:rsidRPr="006E2CC6">
              <w:rPr>
                <w:rStyle w:val="Hipervnculo"/>
                <w:rFonts w:ascii="Arial" w:hAnsi="Arial" w:cs="Arial"/>
                <w:noProof/>
                <w:sz w:val="18"/>
                <w:szCs w:val="18"/>
              </w:rPr>
              <w:t>ANEXO N°5</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_Toc132473277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38</w:t>
            </w:r>
            <w:r w:rsidR="006E2CC6" w:rsidRPr="006E2CC6">
              <w:rPr>
                <w:rFonts w:ascii="Arial" w:hAnsi="Arial" w:cs="Arial"/>
                <w:noProof/>
                <w:webHidden/>
                <w:sz w:val="18"/>
                <w:szCs w:val="18"/>
              </w:rPr>
              <w:fldChar w:fldCharType="end"/>
            </w:r>
          </w:hyperlink>
        </w:p>
        <w:p w14:paraId="244FC87D" w14:textId="5162FF7E" w:rsidR="006E2CC6" w:rsidRPr="006E2CC6" w:rsidRDefault="006A1D96">
          <w:pPr>
            <w:pStyle w:val="TDC1"/>
            <w:rPr>
              <w:rFonts w:ascii="Arial" w:hAnsi="Arial" w:cs="Arial"/>
              <w:noProof/>
              <w:sz w:val="18"/>
              <w:szCs w:val="18"/>
              <w:lang w:val="es-419" w:eastAsia="es-419"/>
            </w:rPr>
          </w:pPr>
          <w:hyperlink w:anchor="_Toc132473278" w:history="1">
            <w:r w:rsidR="006E2CC6" w:rsidRPr="006E2CC6">
              <w:rPr>
                <w:rStyle w:val="Hipervnculo"/>
                <w:rFonts w:ascii="Arial" w:hAnsi="Arial" w:cs="Arial"/>
                <w:noProof/>
                <w:sz w:val="18"/>
                <w:szCs w:val="18"/>
              </w:rPr>
              <w:t>ANEXO N° 6</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_Toc132473278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44</w:t>
            </w:r>
            <w:r w:rsidR="006E2CC6" w:rsidRPr="006E2CC6">
              <w:rPr>
                <w:rFonts w:ascii="Arial" w:hAnsi="Arial" w:cs="Arial"/>
                <w:noProof/>
                <w:webHidden/>
                <w:sz w:val="18"/>
                <w:szCs w:val="18"/>
              </w:rPr>
              <w:fldChar w:fldCharType="end"/>
            </w:r>
          </w:hyperlink>
        </w:p>
        <w:p w14:paraId="23CB1D1B" w14:textId="68060EBE" w:rsidR="006E2CC6" w:rsidRPr="006E2CC6" w:rsidRDefault="006A1D96">
          <w:pPr>
            <w:pStyle w:val="TDC1"/>
            <w:rPr>
              <w:rFonts w:ascii="Arial" w:hAnsi="Arial" w:cs="Arial"/>
              <w:noProof/>
              <w:sz w:val="18"/>
              <w:szCs w:val="18"/>
              <w:lang w:val="es-419" w:eastAsia="es-419"/>
            </w:rPr>
          </w:pPr>
          <w:hyperlink w:anchor="_Toc132473279" w:history="1">
            <w:r w:rsidR="006E2CC6" w:rsidRPr="006E2CC6">
              <w:rPr>
                <w:rStyle w:val="Hipervnculo"/>
                <w:rFonts w:ascii="Arial" w:hAnsi="Arial" w:cs="Arial"/>
                <w:noProof/>
                <w:sz w:val="18"/>
                <w:szCs w:val="18"/>
              </w:rPr>
              <w:t>ANEXO N° 7</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_Toc132473279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46</w:t>
            </w:r>
            <w:r w:rsidR="006E2CC6" w:rsidRPr="006E2CC6">
              <w:rPr>
                <w:rFonts w:ascii="Arial" w:hAnsi="Arial" w:cs="Arial"/>
                <w:noProof/>
                <w:webHidden/>
                <w:sz w:val="18"/>
                <w:szCs w:val="18"/>
              </w:rPr>
              <w:fldChar w:fldCharType="end"/>
            </w:r>
          </w:hyperlink>
        </w:p>
        <w:p w14:paraId="42286967" w14:textId="3439E386" w:rsidR="006E2CC6" w:rsidRPr="006E2CC6" w:rsidRDefault="006A1D96">
          <w:pPr>
            <w:pStyle w:val="TDC1"/>
            <w:rPr>
              <w:rFonts w:ascii="Arial" w:hAnsi="Arial" w:cs="Arial"/>
              <w:noProof/>
              <w:sz w:val="18"/>
              <w:szCs w:val="18"/>
              <w:lang w:val="es-419" w:eastAsia="es-419"/>
            </w:rPr>
          </w:pPr>
          <w:hyperlink w:anchor="_Toc132473280" w:history="1">
            <w:r w:rsidR="006E2CC6" w:rsidRPr="006E2CC6">
              <w:rPr>
                <w:rStyle w:val="Hipervnculo"/>
                <w:rFonts w:ascii="Arial" w:hAnsi="Arial" w:cs="Arial"/>
                <w:noProof/>
                <w:sz w:val="18"/>
                <w:szCs w:val="18"/>
              </w:rPr>
              <w:t>ANEXO N° 8</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_Toc132473280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48</w:t>
            </w:r>
            <w:r w:rsidR="006E2CC6" w:rsidRPr="006E2CC6">
              <w:rPr>
                <w:rFonts w:ascii="Arial" w:hAnsi="Arial" w:cs="Arial"/>
                <w:noProof/>
                <w:webHidden/>
                <w:sz w:val="18"/>
                <w:szCs w:val="18"/>
              </w:rPr>
              <w:fldChar w:fldCharType="end"/>
            </w:r>
          </w:hyperlink>
        </w:p>
        <w:p w14:paraId="23607108" w14:textId="748C6FF3" w:rsidR="006E2CC6" w:rsidRPr="006E2CC6" w:rsidRDefault="006A1D96">
          <w:pPr>
            <w:pStyle w:val="TDC1"/>
            <w:rPr>
              <w:rFonts w:ascii="Arial" w:hAnsi="Arial" w:cs="Arial"/>
              <w:noProof/>
              <w:sz w:val="18"/>
              <w:szCs w:val="18"/>
              <w:lang w:val="es-419" w:eastAsia="es-419"/>
            </w:rPr>
          </w:pPr>
          <w:hyperlink w:anchor="_Toc132473281" w:history="1">
            <w:r w:rsidR="006E2CC6" w:rsidRPr="006E2CC6">
              <w:rPr>
                <w:rStyle w:val="Hipervnculo"/>
                <w:rFonts w:ascii="Arial" w:hAnsi="Arial" w:cs="Arial"/>
                <w:noProof/>
                <w:sz w:val="18"/>
                <w:szCs w:val="18"/>
                <w:lang w:val="es-ES"/>
              </w:rPr>
              <w:t>ANEXO N° 9</w:t>
            </w:r>
            <w:r w:rsidR="006E2CC6" w:rsidRPr="006E2CC6">
              <w:rPr>
                <w:rFonts w:ascii="Arial" w:hAnsi="Arial" w:cs="Arial"/>
                <w:noProof/>
                <w:webHidden/>
                <w:sz w:val="18"/>
                <w:szCs w:val="18"/>
              </w:rPr>
              <w:tab/>
            </w:r>
            <w:r w:rsidR="006E2CC6" w:rsidRPr="006E2CC6">
              <w:rPr>
                <w:rFonts w:ascii="Arial" w:hAnsi="Arial" w:cs="Arial"/>
                <w:noProof/>
                <w:webHidden/>
                <w:sz w:val="18"/>
                <w:szCs w:val="18"/>
              </w:rPr>
              <w:fldChar w:fldCharType="begin"/>
            </w:r>
            <w:r w:rsidR="006E2CC6" w:rsidRPr="006E2CC6">
              <w:rPr>
                <w:rFonts w:ascii="Arial" w:hAnsi="Arial" w:cs="Arial"/>
                <w:noProof/>
                <w:webHidden/>
                <w:sz w:val="18"/>
                <w:szCs w:val="18"/>
              </w:rPr>
              <w:instrText xml:space="preserve"> PAGEREF _Toc132473281 \h </w:instrText>
            </w:r>
            <w:r w:rsidR="006E2CC6" w:rsidRPr="006E2CC6">
              <w:rPr>
                <w:rFonts w:ascii="Arial" w:hAnsi="Arial" w:cs="Arial"/>
                <w:noProof/>
                <w:webHidden/>
                <w:sz w:val="18"/>
                <w:szCs w:val="18"/>
              </w:rPr>
            </w:r>
            <w:r w:rsidR="006E2CC6" w:rsidRPr="006E2CC6">
              <w:rPr>
                <w:rFonts w:ascii="Arial" w:hAnsi="Arial" w:cs="Arial"/>
                <w:noProof/>
                <w:webHidden/>
                <w:sz w:val="18"/>
                <w:szCs w:val="18"/>
              </w:rPr>
              <w:fldChar w:fldCharType="separate"/>
            </w:r>
            <w:r w:rsidR="008F42A8">
              <w:rPr>
                <w:rFonts w:ascii="Arial" w:hAnsi="Arial" w:cs="Arial"/>
                <w:noProof/>
                <w:webHidden/>
                <w:sz w:val="18"/>
                <w:szCs w:val="18"/>
              </w:rPr>
              <w:t>50</w:t>
            </w:r>
            <w:r w:rsidR="006E2CC6" w:rsidRPr="006E2CC6">
              <w:rPr>
                <w:rFonts w:ascii="Arial" w:hAnsi="Arial" w:cs="Arial"/>
                <w:noProof/>
                <w:webHidden/>
                <w:sz w:val="18"/>
                <w:szCs w:val="18"/>
              </w:rPr>
              <w:fldChar w:fldCharType="end"/>
            </w:r>
          </w:hyperlink>
        </w:p>
        <w:p w14:paraId="02F12013" w14:textId="7C2B7119" w:rsidR="00C50442" w:rsidRPr="006E2CC6" w:rsidRDefault="00583D46" w:rsidP="00CB7681">
          <w:pPr>
            <w:rPr>
              <w:rFonts w:ascii="Arial" w:hAnsi="Arial" w:cs="Arial"/>
              <w:b/>
              <w:bCs/>
              <w:sz w:val="18"/>
              <w:szCs w:val="18"/>
              <w:lang w:val="es-ES"/>
            </w:rPr>
          </w:pPr>
          <w:r w:rsidRPr="006E2CC6">
            <w:rPr>
              <w:rFonts w:ascii="Arial" w:hAnsi="Arial" w:cs="Arial"/>
              <w:b/>
              <w:bCs/>
              <w:sz w:val="18"/>
              <w:szCs w:val="18"/>
              <w:lang w:val="es-ES"/>
            </w:rPr>
            <w:fldChar w:fldCharType="end"/>
          </w:r>
        </w:p>
        <w:p w14:paraId="5F5D9415" w14:textId="4ED2AAD9" w:rsidR="00C05310" w:rsidRPr="008C4570" w:rsidRDefault="006A1D96"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324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324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324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1659E69B"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8F42A8" w:rsidRPr="008F42A8">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3247"/>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3248"/>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3249"/>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3250"/>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325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3252"/>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1FC607E" w14:textId="77777777" w:rsidR="006E2CC6" w:rsidRPr="009300E5" w:rsidRDefault="006E2CC6" w:rsidP="006E2CC6">
      <w:pPr>
        <w:pStyle w:val="Prrafodelista"/>
        <w:spacing w:after="0" w:line="240" w:lineRule="auto"/>
        <w:jc w:val="both"/>
        <w:rPr>
          <w:rFonts w:ascii="Arial" w:eastAsia="gobCL" w:hAnsi="Arial" w:cs="Arial"/>
          <w:color w:val="000000"/>
        </w:rPr>
      </w:pPr>
    </w:p>
    <w:tbl>
      <w:tblPr>
        <w:tblStyle w:val="37"/>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126"/>
      </w:tblGrid>
      <w:tr w:rsidR="006E2CC6" w:rsidRPr="007C5A3A" w14:paraId="20D6FFD1" w14:textId="77777777" w:rsidTr="006E2CC6">
        <w:trPr>
          <w:trHeight w:val="260"/>
        </w:trPr>
        <w:tc>
          <w:tcPr>
            <w:tcW w:w="2268" w:type="dxa"/>
            <w:shd w:val="clear" w:color="auto" w:fill="EEECE1"/>
          </w:tcPr>
          <w:p w14:paraId="2A0EA01C"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0E211FF3"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27D37596"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2126" w:type="dxa"/>
            <w:shd w:val="clear" w:color="auto" w:fill="EEECE1"/>
          </w:tcPr>
          <w:p w14:paraId="7652B9D4"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5EAFFF03"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6E2CC6" w:rsidRPr="007C5A3A" w14:paraId="42E34770" w14:textId="77777777" w:rsidTr="006E2CC6">
        <w:trPr>
          <w:trHeight w:val="440"/>
        </w:trPr>
        <w:tc>
          <w:tcPr>
            <w:tcW w:w="2268" w:type="dxa"/>
            <w:shd w:val="clear" w:color="auto" w:fill="auto"/>
            <w:vAlign w:val="center"/>
          </w:tcPr>
          <w:p w14:paraId="7320B3B7" w14:textId="77777777" w:rsidR="006E2CC6" w:rsidRPr="007C5A3A" w:rsidRDefault="006E2CC6"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489B5590" w14:textId="77777777" w:rsidR="006E2CC6" w:rsidRPr="007C5A3A" w:rsidRDefault="006E2CC6"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0A2E4650" w14:textId="77777777" w:rsidR="006E2CC6" w:rsidRPr="007C5A3A" w:rsidRDefault="006E2CC6"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2C4C2C1A" w14:textId="77777777" w:rsidR="006E2CC6" w:rsidRPr="007C5A3A" w:rsidRDefault="006E2CC6"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2126" w:type="dxa"/>
            <w:vMerge w:val="restart"/>
            <w:shd w:val="clear" w:color="auto" w:fill="auto"/>
          </w:tcPr>
          <w:p w14:paraId="0144AE67" w14:textId="6E1D3C79" w:rsidR="006E2CC6" w:rsidRPr="002A7776" w:rsidRDefault="006E2CC6" w:rsidP="006E2CC6">
            <w:pPr>
              <w:spacing w:after="0" w:line="240" w:lineRule="auto"/>
              <w:jc w:val="both"/>
              <w:rPr>
                <w:rFonts w:ascii="Arial" w:eastAsia="gobCL" w:hAnsi="Arial" w:cs="Arial"/>
                <w:color w:val="000000"/>
                <w:highlight w:val="yellow"/>
              </w:rPr>
            </w:pPr>
            <w:r w:rsidRPr="00B212CA">
              <w:rPr>
                <w:rFonts w:ascii="Arial" w:eastAsia="gobCL" w:hAnsi="Arial" w:cs="Arial"/>
                <w:b/>
                <w:color w:val="000000"/>
              </w:rPr>
              <w:t>10%</w:t>
            </w:r>
            <w:r w:rsidRPr="00B212CA">
              <w:rPr>
                <w:rFonts w:ascii="Arial" w:eastAsia="gobCL" w:hAnsi="Arial" w:cs="Arial"/>
                <w:color w:val="000000"/>
              </w:rPr>
              <w:t xml:space="preserve"> del cofinanciamiento Sercotec. </w:t>
            </w:r>
          </w:p>
        </w:tc>
      </w:tr>
      <w:tr w:rsidR="006E2CC6" w:rsidRPr="007C5A3A" w14:paraId="634C76D4" w14:textId="77777777" w:rsidTr="006E2CC6">
        <w:trPr>
          <w:trHeight w:val="440"/>
        </w:trPr>
        <w:tc>
          <w:tcPr>
            <w:tcW w:w="2268" w:type="dxa"/>
            <w:shd w:val="clear" w:color="auto" w:fill="auto"/>
            <w:vAlign w:val="center"/>
          </w:tcPr>
          <w:p w14:paraId="24385900" w14:textId="77777777" w:rsidR="006E2CC6" w:rsidRPr="007C5A3A" w:rsidRDefault="006E2CC6"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20BB149E" w14:textId="77777777" w:rsidR="006E2CC6" w:rsidRPr="007C5A3A" w:rsidRDefault="006E2CC6"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4412AD0B" w14:textId="77777777" w:rsidR="006E2CC6" w:rsidRPr="007C5A3A" w:rsidRDefault="006E2CC6"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2126" w:type="dxa"/>
            <w:vMerge/>
            <w:shd w:val="clear" w:color="auto" w:fill="auto"/>
          </w:tcPr>
          <w:p w14:paraId="1B8548F4" w14:textId="77777777" w:rsidR="006E2CC6" w:rsidRPr="007C5A3A" w:rsidRDefault="006E2CC6" w:rsidP="00C413AE">
            <w:pPr>
              <w:widowControl w:val="0"/>
              <w:pBdr>
                <w:top w:val="nil"/>
                <w:left w:val="nil"/>
                <w:bottom w:val="nil"/>
                <w:right w:val="nil"/>
                <w:between w:val="nil"/>
              </w:pBdr>
              <w:spacing w:after="0"/>
              <w:rPr>
                <w:rFonts w:ascii="Arial" w:eastAsia="gobCL" w:hAnsi="Arial" w:cs="Arial"/>
                <w:color w:val="000000"/>
              </w:rPr>
            </w:pPr>
          </w:p>
        </w:tc>
      </w:tr>
      <w:tr w:rsidR="006E2CC6" w:rsidRPr="007C5A3A" w14:paraId="76057465" w14:textId="77777777" w:rsidTr="006E2CC6">
        <w:trPr>
          <w:trHeight w:val="460"/>
        </w:trPr>
        <w:tc>
          <w:tcPr>
            <w:tcW w:w="2268" w:type="dxa"/>
            <w:shd w:val="clear" w:color="auto" w:fill="auto"/>
            <w:vAlign w:val="center"/>
          </w:tcPr>
          <w:p w14:paraId="07779A15" w14:textId="77777777" w:rsidR="006E2CC6" w:rsidRPr="007C5A3A" w:rsidRDefault="006E2CC6"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125EBCCC"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577D952E" w14:textId="77777777" w:rsidR="006E2CC6" w:rsidRPr="007C5A3A" w:rsidRDefault="006E2CC6"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2126" w:type="dxa"/>
            <w:vMerge/>
            <w:shd w:val="clear" w:color="auto" w:fill="auto"/>
          </w:tcPr>
          <w:p w14:paraId="07D0F2F6" w14:textId="77777777" w:rsidR="006E2CC6" w:rsidRPr="007C5A3A" w:rsidRDefault="006E2CC6" w:rsidP="00C413AE">
            <w:pPr>
              <w:widowControl w:val="0"/>
              <w:pBdr>
                <w:top w:val="nil"/>
                <w:left w:val="nil"/>
                <w:bottom w:val="nil"/>
                <w:right w:val="nil"/>
                <w:between w:val="nil"/>
              </w:pBdr>
              <w:spacing w:after="0"/>
              <w:rPr>
                <w:rFonts w:ascii="Arial" w:eastAsia="gobCL" w:hAnsi="Arial" w:cs="Arial"/>
                <w:b/>
                <w:color w:val="000000"/>
              </w:rPr>
            </w:pPr>
          </w:p>
        </w:tc>
      </w:tr>
    </w:tbl>
    <w:p w14:paraId="4A4F4D43" w14:textId="77777777" w:rsidR="006E2CC6" w:rsidRPr="009300E5" w:rsidRDefault="006E2CC6" w:rsidP="006E2CC6">
      <w:pPr>
        <w:pStyle w:val="Prrafodelista"/>
        <w:spacing w:after="0" w:line="240" w:lineRule="auto"/>
        <w:ind w:left="142"/>
        <w:jc w:val="both"/>
        <w:rPr>
          <w:rFonts w:ascii="Arial" w:eastAsia="gobCL" w:hAnsi="Arial" w:cs="Arial"/>
          <w:color w:val="000000"/>
        </w:rPr>
      </w:pPr>
    </w:p>
    <w:p w14:paraId="5F53E5DE" w14:textId="77777777" w:rsidR="006E2CC6" w:rsidRPr="00B212CA" w:rsidRDefault="006E2CC6" w:rsidP="006E2CC6">
      <w:pPr>
        <w:pStyle w:val="Prrafodelista"/>
        <w:spacing w:after="0" w:line="240" w:lineRule="auto"/>
        <w:ind w:left="142"/>
        <w:jc w:val="both"/>
        <w:rPr>
          <w:rFonts w:ascii="Arial" w:eastAsia="gobCL" w:hAnsi="Arial" w:cs="Arial"/>
          <w:color w:val="000000"/>
        </w:rPr>
      </w:pPr>
      <w:r w:rsidRPr="00B212CA">
        <w:rPr>
          <w:rFonts w:ascii="Arial" w:eastAsia="gobCL" w:hAnsi="Arial" w:cs="Arial"/>
          <w:color w:val="000000"/>
        </w:rPr>
        <w:t xml:space="preserve">El proyecto debe considerar también, un aporte empresarial mínimo en efectivo de un 10 % del total del cofinanciamiento Sercotec. </w:t>
      </w:r>
    </w:p>
    <w:p w14:paraId="30A67062" w14:textId="77777777" w:rsidR="006E2CC6" w:rsidRPr="00B212CA" w:rsidRDefault="006E2CC6" w:rsidP="006E2CC6">
      <w:pPr>
        <w:pStyle w:val="Prrafodelista"/>
        <w:spacing w:after="0" w:line="240" w:lineRule="auto"/>
        <w:ind w:left="142"/>
        <w:jc w:val="both"/>
        <w:rPr>
          <w:rFonts w:ascii="Arial" w:eastAsia="gobCL" w:hAnsi="Arial" w:cs="Arial"/>
          <w:color w:val="000000"/>
        </w:rPr>
      </w:pPr>
    </w:p>
    <w:p w14:paraId="7C32274E" w14:textId="77777777" w:rsidR="006E2CC6" w:rsidRPr="00B212CA" w:rsidRDefault="006E2CC6" w:rsidP="006E2CC6">
      <w:pPr>
        <w:pStyle w:val="Prrafodelista"/>
        <w:spacing w:after="0" w:line="240" w:lineRule="auto"/>
        <w:ind w:left="142"/>
        <w:jc w:val="both"/>
        <w:rPr>
          <w:rFonts w:ascii="Arial" w:eastAsia="gobCL" w:hAnsi="Arial" w:cs="Arial"/>
          <w:color w:val="000000"/>
        </w:rPr>
      </w:pPr>
      <w:r w:rsidRPr="00B212CA">
        <w:rPr>
          <w:rFonts w:ascii="Arial" w:eastAsia="gobCL" w:hAnsi="Arial" w:cs="Arial"/>
          <w:color w:val="000000"/>
        </w:rPr>
        <w:t>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B212CA">
        <w:rPr>
          <w:rFonts w:ascii="Arial" w:eastAsia="gobCL" w:hAnsi="Arial" w:cs="Arial"/>
          <w:b/>
          <w:color w:val="000000"/>
        </w:rPr>
        <w:t xml:space="preserve">2.585.000, </w:t>
      </w:r>
      <w:r w:rsidRPr="00B212CA">
        <w:rPr>
          <w:rFonts w:ascii="Arial" w:eastAsia="gobCL" w:hAnsi="Arial" w:cs="Arial"/>
          <w:color w:val="000000"/>
        </w:rPr>
        <w:t xml:space="preserve">considerando un aporte empresarial de 10% mínimo del cofinanciamiento Sercotec. </w:t>
      </w:r>
    </w:p>
    <w:p w14:paraId="2B1AD505" w14:textId="77777777" w:rsidR="006E2CC6" w:rsidRPr="00B212CA" w:rsidRDefault="006E2CC6" w:rsidP="006E2CC6">
      <w:pPr>
        <w:pStyle w:val="Prrafodelista"/>
        <w:spacing w:after="0" w:line="240" w:lineRule="auto"/>
        <w:jc w:val="both"/>
        <w:rPr>
          <w:rFonts w:ascii="Arial" w:eastAsia="gobCL" w:hAnsi="Arial" w:cs="Arial"/>
          <w:b/>
          <w:color w:val="000000"/>
          <w:u w:val="single"/>
        </w:rPr>
      </w:pPr>
    </w:p>
    <w:p w14:paraId="3F6AFA0E" w14:textId="77777777" w:rsidR="006E2CC6" w:rsidRPr="00B212CA" w:rsidRDefault="006E2CC6" w:rsidP="006E2CC6">
      <w:pPr>
        <w:pStyle w:val="Prrafodelista"/>
        <w:spacing w:after="0" w:line="240" w:lineRule="auto"/>
        <w:jc w:val="both"/>
        <w:rPr>
          <w:rFonts w:ascii="Arial" w:eastAsia="gobCL" w:hAnsi="Arial" w:cs="Arial"/>
          <w:b/>
          <w:color w:val="000000"/>
          <w:u w:val="single"/>
        </w:rPr>
      </w:pPr>
      <w:r w:rsidRPr="00B212CA">
        <w:rPr>
          <w:rFonts w:ascii="Arial" w:eastAsia="gobCL" w:hAnsi="Arial" w:cs="Arial"/>
          <w:b/>
          <w:color w:val="000000"/>
          <w:u w:val="single"/>
        </w:rPr>
        <w:t>Ejemplo</w:t>
      </w:r>
    </w:p>
    <w:p w14:paraId="0607D1BE" w14:textId="77777777" w:rsidR="006E2CC6" w:rsidRPr="00B212CA" w:rsidRDefault="006E2CC6" w:rsidP="006E2CC6">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6E2CC6" w:rsidRPr="00B212CA" w14:paraId="0990016B" w14:textId="77777777" w:rsidTr="00C413AE">
        <w:trPr>
          <w:trHeight w:val="340"/>
          <w:jc w:val="center"/>
        </w:trPr>
        <w:tc>
          <w:tcPr>
            <w:tcW w:w="2411" w:type="dxa"/>
            <w:tcBorders>
              <w:bottom w:val="single" w:sz="12" w:space="0" w:color="000000"/>
            </w:tcBorders>
            <w:shd w:val="clear" w:color="auto" w:fill="auto"/>
          </w:tcPr>
          <w:p w14:paraId="750613A7"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Componente </w:t>
            </w:r>
          </w:p>
        </w:tc>
        <w:tc>
          <w:tcPr>
            <w:tcW w:w="2268" w:type="dxa"/>
            <w:tcBorders>
              <w:bottom w:val="single" w:sz="12" w:space="0" w:color="000000"/>
            </w:tcBorders>
            <w:shd w:val="clear" w:color="auto" w:fill="auto"/>
          </w:tcPr>
          <w:p w14:paraId="052CDF43"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Cofinanciamiento </w:t>
            </w:r>
            <w:r w:rsidRPr="00B212CA">
              <w:rPr>
                <w:rFonts w:ascii="Arial" w:hAnsi="Arial" w:cs="Arial"/>
                <w:b/>
                <w:color w:val="000000"/>
              </w:rPr>
              <w:br/>
              <w:t xml:space="preserve">Sercotec </w:t>
            </w:r>
          </w:p>
        </w:tc>
        <w:tc>
          <w:tcPr>
            <w:tcW w:w="1865" w:type="dxa"/>
            <w:tcBorders>
              <w:bottom w:val="single" w:sz="12" w:space="0" w:color="000000"/>
            </w:tcBorders>
            <w:shd w:val="clear" w:color="auto" w:fill="auto"/>
          </w:tcPr>
          <w:p w14:paraId="257DCEE7"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Aporte </w:t>
            </w:r>
            <w:r w:rsidRPr="00B212CA">
              <w:rPr>
                <w:rFonts w:ascii="Arial" w:hAnsi="Arial" w:cs="Arial"/>
                <w:b/>
                <w:color w:val="000000"/>
              </w:rPr>
              <w:br/>
              <w:t xml:space="preserve">empresa (10%) </w:t>
            </w:r>
          </w:p>
        </w:tc>
        <w:tc>
          <w:tcPr>
            <w:tcW w:w="1613" w:type="dxa"/>
            <w:tcBorders>
              <w:bottom w:val="single" w:sz="12" w:space="0" w:color="000000"/>
            </w:tcBorders>
            <w:shd w:val="clear" w:color="auto" w:fill="auto"/>
          </w:tcPr>
          <w:p w14:paraId="66774B48"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Totales por </w:t>
            </w:r>
            <w:r w:rsidRPr="00B212CA">
              <w:rPr>
                <w:rFonts w:ascii="Arial" w:hAnsi="Arial" w:cs="Arial"/>
                <w:b/>
                <w:color w:val="000000"/>
              </w:rPr>
              <w:br/>
              <w:t xml:space="preserve">componente </w:t>
            </w:r>
          </w:p>
        </w:tc>
      </w:tr>
      <w:tr w:rsidR="006E2CC6" w:rsidRPr="00B212CA" w14:paraId="2B0AE4FC" w14:textId="77777777" w:rsidTr="00C413AE">
        <w:trPr>
          <w:trHeight w:val="460"/>
          <w:jc w:val="center"/>
        </w:trPr>
        <w:tc>
          <w:tcPr>
            <w:tcW w:w="2411" w:type="dxa"/>
            <w:shd w:val="clear" w:color="auto" w:fill="auto"/>
          </w:tcPr>
          <w:p w14:paraId="74932DCD"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Acciones de gestión </w:t>
            </w:r>
            <w:r w:rsidRPr="00B212CA">
              <w:rPr>
                <w:rFonts w:ascii="Arial" w:hAnsi="Arial" w:cs="Arial"/>
                <w:b/>
                <w:color w:val="000000"/>
              </w:rPr>
              <w:br/>
              <w:t xml:space="preserve">empresarial </w:t>
            </w:r>
          </w:p>
        </w:tc>
        <w:tc>
          <w:tcPr>
            <w:tcW w:w="2268" w:type="dxa"/>
            <w:shd w:val="clear" w:color="auto" w:fill="auto"/>
          </w:tcPr>
          <w:p w14:paraId="4D50F9B3" w14:textId="77777777" w:rsidR="006E2CC6" w:rsidRPr="00B212CA" w:rsidRDefault="006E2CC6" w:rsidP="00C413AE">
            <w:pPr>
              <w:spacing w:after="0" w:line="240" w:lineRule="auto"/>
              <w:ind w:left="315" w:hanging="315"/>
              <w:rPr>
                <w:rFonts w:ascii="Arial" w:hAnsi="Arial" w:cs="Arial"/>
                <w:color w:val="000000"/>
              </w:rPr>
            </w:pPr>
            <w:r w:rsidRPr="00B212CA">
              <w:rPr>
                <w:rFonts w:ascii="Arial" w:hAnsi="Arial" w:cs="Arial"/>
                <w:color w:val="000000"/>
              </w:rPr>
              <w:t xml:space="preserve"> $    350.000 </w:t>
            </w:r>
          </w:p>
        </w:tc>
        <w:tc>
          <w:tcPr>
            <w:tcW w:w="1865" w:type="dxa"/>
            <w:shd w:val="clear" w:color="auto" w:fill="auto"/>
          </w:tcPr>
          <w:p w14:paraId="368814FB" w14:textId="77777777" w:rsidR="006E2CC6" w:rsidRPr="00B212CA" w:rsidRDefault="006E2CC6" w:rsidP="00C413AE">
            <w:pPr>
              <w:spacing w:after="0" w:line="240" w:lineRule="auto"/>
              <w:rPr>
                <w:rFonts w:ascii="Arial" w:hAnsi="Arial" w:cs="Arial"/>
                <w:color w:val="000000"/>
              </w:rPr>
            </w:pPr>
            <w:r w:rsidRPr="00B212CA">
              <w:rPr>
                <w:rFonts w:ascii="Arial" w:hAnsi="Arial" w:cs="Arial"/>
                <w:b/>
                <w:color w:val="000000"/>
              </w:rPr>
              <w:t>$    35</w:t>
            </w:r>
            <w:r>
              <w:rPr>
                <w:rFonts w:ascii="Arial" w:hAnsi="Arial" w:cs="Arial"/>
                <w:b/>
                <w:color w:val="000000"/>
              </w:rPr>
              <w:t>.</w:t>
            </w:r>
            <w:r w:rsidRPr="00B212CA">
              <w:rPr>
                <w:rFonts w:ascii="Arial" w:hAnsi="Arial" w:cs="Arial"/>
                <w:b/>
                <w:color w:val="000000"/>
              </w:rPr>
              <w:t>000</w:t>
            </w:r>
          </w:p>
        </w:tc>
        <w:tc>
          <w:tcPr>
            <w:tcW w:w="1613" w:type="dxa"/>
            <w:shd w:val="clear" w:color="auto" w:fill="auto"/>
          </w:tcPr>
          <w:p w14:paraId="1D99A991" w14:textId="77777777" w:rsidR="006E2CC6" w:rsidRPr="00B212CA" w:rsidRDefault="006E2CC6" w:rsidP="00C413AE">
            <w:pPr>
              <w:spacing w:after="0" w:line="240" w:lineRule="auto"/>
              <w:rPr>
                <w:rFonts w:ascii="Arial" w:hAnsi="Arial" w:cs="Arial"/>
                <w:color w:val="000000"/>
              </w:rPr>
            </w:pPr>
            <w:r w:rsidRPr="00B212CA">
              <w:rPr>
                <w:rFonts w:ascii="Arial" w:hAnsi="Arial" w:cs="Arial"/>
                <w:b/>
                <w:color w:val="000000"/>
              </w:rPr>
              <w:t xml:space="preserve">$    </w:t>
            </w:r>
            <w:r w:rsidRPr="00B212CA">
              <w:rPr>
                <w:rFonts w:ascii="Arial" w:hAnsi="Arial" w:cs="Arial"/>
                <w:color w:val="000000"/>
              </w:rPr>
              <w:t>385.000</w:t>
            </w:r>
          </w:p>
        </w:tc>
      </w:tr>
      <w:tr w:rsidR="006E2CC6" w:rsidRPr="00B212CA" w14:paraId="640C0795" w14:textId="77777777" w:rsidTr="00C413AE">
        <w:trPr>
          <w:trHeight w:val="300"/>
          <w:jc w:val="center"/>
        </w:trPr>
        <w:tc>
          <w:tcPr>
            <w:tcW w:w="2411" w:type="dxa"/>
            <w:shd w:val="clear" w:color="auto" w:fill="auto"/>
          </w:tcPr>
          <w:p w14:paraId="5BFF720F"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Inversiones </w:t>
            </w:r>
          </w:p>
        </w:tc>
        <w:tc>
          <w:tcPr>
            <w:tcW w:w="2268" w:type="dxa"/>
            <w:shd w:val="clear" w:color="auto" w:fill="auto"/>
          </w:tcPr>
          <w:p w14:paraId="71C79378" w14:textId="77777777" w:rsidR="006E2CC6" w:rsidRPr="00B212CA" w:rsidRDefault="006E2CC6" w:rsidP="00C413AE">
            <w:pPr>
              <w:spacing w:after="0" w:line="240" w:lineRule="auto"/>
              <w:rPr>
                <w:rFonts w:ascii="Arial" w:hAnsi="Arial" w:cs="Arial"/>
                <w:color w:val="000000"/>
              </w:rPr>
            </w:pPr>
            <w:r w:rsidRPr="00B212CA">
              <w:rPr>
                <w:rFonts w:ascii="Arial" w:hAnsi="Arial" w:cs="Arial"/>
                <w:color w:val="000000"/>
              </w:rPr>
              <w:t xml:space="preserve"> $    2.000.000 </w:t>
            </w:r>
          </w:p>
        </w:tc>
        <w:tc>
          <w:tcPr>
            <w:tcW w:w="1865" w:type="dxa"/>
            <w:shd w:val="clear" w:color="auto" w:fill="auto"/>
          </w:tcPr>
          <w:p w14:paraId="107163A0" w14:textId="77777777" w:rsidR="006E2CC6" w:rsidRPr="00B212CA" w:rsidRDefault="006E2CC6" w:rsidP="00C413AE">
            <w:pPr>
              <w:spacing w:after="0" w:line="240" w:lineRule="auto"/>
              <w:rPr>
                <w:rFonts w:ascii="Arial" w:hAnsi="Arial" w:cs="Arial"/>
                <w:color w:val="000000"/>
              </w:rPr>
            </w:pPr>
            <w:r w:rsidRPr="00B212CA">
              <w:rPr>
                <w:rFonts w:ascii="Arial" w:hAnsi="Arial" w:cs="Arial"/>
                <w:b/>
                <w:color w:val="000000"/>
              </w:rPr>
              <w:t xml:space="preserve">$    </w:t>
            </w:r>
            <w:r w:rsidRPr="00B212CA">
              <w:rPr>
                <w:rFonts w:ascii="Arial" w:hAnsi="Arial" w:cs="Arial"/>
                <w:color w:val="000000"/>
              </w:rPr>
              <w:t>200</w:t>
            </w:r>
            <w:r>
              <w:rPr>
                <w:rFonts w:ascii="Arial" w:hAnsi="Arial" w:cs="Arial"/>
                <w:color w:val="000000"/>
              </w:rPr>
              <w:t>.</w:t>
            </w:r>
            <w:r w:rsidRPr="00B212CA">
              <w:rPr>
                <w:rFonts w:ascii="Arial" w:hAnsi="Arial" w:cs="Arial"/>
                <w:color w:val="000000"/>
              </w:rPr>
              <w:t>000</w:t>
            </w:r>
          </w:p>
        </w:tc>
        <w:tc>
          <w:tcPr>
            <w:tcW w:w="1613" w:type="dxa"/>
            <w:shd w:val="clear" w:color="auto" w:fill="auto"/>
          </w:tcPr>
          <w:p w14:paraId="69079C82" w14:textId="77777777" w:rsidR="006E2CC6" w:rsidRPr="00B212CA" w:rsidRDefault="006E2CC6" w:rsidP="00C413AE">
            <w:pPr>
              <w:spacing w:after="0" w:line="240" w:lineRule="auto"/>
              <w:rPr>
                <w:rFonts w:ascii="Arial" w:hAnsi="Arial" w:cs="Arial"/>
                <w:color w:val="000000"/>
              </w:rPr>
            </w:pPr>
            <w:r w:rsidRPr="00B212CA">
              <w:rPr>
                <w:rFonts w:ascii="Arial" w:hAnsi="Arial" w:cs="Arial"/>
                <w:b/>
                <w:color w:val="000000"/>
              </w:rPr>
              <w:t xml:space="preserve">$    </w:t>
            </w:r>
            <w:r w:rsidRPr="00B212CA">
              <w:rPr>
                <w:rFonts w:ascii="Arial" w:hAnsi="Arial" w:cs="Arial"/>
                <w:color w:val="000000"/>
              </w:rPr>
              <w:t>2.200.000</w:t>
            </w:r>
          </w:p>
        </w:tc>
      </w:tr>
      <w:tr w:rsidR="006E2CC6" w:rsidRPr="00B212CA" w14:paraId="72902AC0" w14:textId="77777777" w:rsidTr="00C413AE">
        <w:trPr>
          <w:trHeight w:val="300"/>
          <w:jc w:val="center"/>
        </w:trPr>
        <w:tc>
          <w:tcPr>
            <w:tcW w:w="2411" w:type="dxa"/>
            <w:shd w:val="clear" w:color="auto" w:fill="auto"/>
          </w:tcPr>
          <w:p w14:paraId="3C8BCF99"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Total proyecto</w:t>
            </w:r>
          </w:p>
        </w:tc>
        <w:tc>
          <w:tcPr>
            <w:tcW w:w="2268" w:type="dxa"/>
            <w:shd w:val="clear" w:color="auto" w:fill="auto"/>
          </w:tcPr>
          <w:p w14:paraId="5AA7ECB5"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 $    2.350.000 </w:t>
            </w:r>
          </w:p>
        </w:tc>
        <w:tc>
          <w:tcPr>
            <w:tcW w:w="1865" w:type="dxa"/>
            <w:shd w:val="clear" w:color="auto" w:fill="auto"/>
          </w:tcPr>
          <w:p w14:paraId="7730CA92"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    235.000        </w:t>
            </w:r>
          </w:p>
        </w:tc>
        <w:tc>
          <w:tcPr>
            <w:tcW w:w="1613" w:type="dxa"/>
            <w:shd w:val="clear" w:color="auto" w:fill="auto"/>
          </w:tcPr>
          <w:p w14:paraId="25D835AE" w14:textId="77777777" w:rsidR="006E2CC6" w:rsidRPr="00B212CA" w:rsidRDefault="006E2CC6" w:rsidP="00C413AE">
            <w:pPr>
              <w:spacing w:after="0" w:line="240" w:lineRule="auto"/>
              <w:rPr>
                <w:rFonts w:ascii="Arial" w:hAnsi="Arial" w:cs="Arial"/>
                <w:b/>
                <w:color w:val="000000"/>
              </w:rPr>
            </w:pPr>
            <w:r w:rsidRPr="00B212CA">
              <w:rPr>
                <w:rFonts w:ascii="Arial" w:hAnsi="Arial" w:cs="Arial"/>
                <w:b/>
                <w:color w:val="000000"/>
              </w:rPr>
              <w:t xml:space="preserve">$    2.585.000          </w:t>
            </w:r>
          </w:p>
        </w:tc>
      </w:tr>
    </w:tbl>
    <w:p w14:paraId="1FC50016" w14:textId="77777777" w:rsidR="006E2CC6" w:rsidRPr="00B212CA" w:rsidRDefault="006E2CC6" w:rsidP="006E2CC6">
      <w:pPr>
        <w:pBdr>
          <w:top w:val="nil"/>
          <w:left w:val="nil"/>
          <w:bottom w:val="nil"/>
          <w:right w:val="nil"/>
          <w:between w:val="nil"/>
        </w:pBdr>
        <w:spacing w:after="0"/>
        <w:ind w:left="720"/>
        <w:jc w:val="both"/>
        <w:rPr>
          <w:rFonts w:ascii="gobCL" w:eastAsia="gobCL" w:hAnsi="gobCL" w:cs="gobCL"/>
          <w:color w:val="000000"/>
        </w:rPr>
      </w:pPr>
    </w:p>
    <w:p w14:paraId="3BF9E0FE" w14:textId="77777777" w:rsidR="006E2CC6" w:rsidRDefault="006E2CC6">
      <w:pPr>
        <w:spacing w:after="0" w:line="240" w:lineRule="auto"/>
        <w:jc w:val="both"/>
        <w:rPr>
          <w:rFonts w:ascii="Arial" w:eastAsia="gobCL" w:hAnsi="Arial" w:cs="Arial"/>
        </w:rPr>
      </w:pPr>
    </w:p>
    <w:p w14:paraId="14F251C9" w14:textId="0C3A8480"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73253"/>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73254"/>
      <w:bookmarkEnd w:id="27"/>
      <w:r w:rsidRPr="008C4570">
        <w:rPr>
          <w:rFonts w:ascii="Arial" w:hAnsi="Arial" w:cs="Arial"/>
          <w:sz w:val="22"/>
        </w:rPr>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73255"/>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6FF5818B"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B50A48">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73256"/>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62AA4020" w:rsidR="002F1A79" w:rsidRPr="002F1A79" w:rsidRDefault="006E2CC6" w:rsidP="00C413AE">
            <w:pPr>
              <w:rPr>
                <w:rFonts w:ascii="Arial" w:hAnsi="Arial" w:cs="Arial"/>
                <w:sz w:val="22"/>
                <w:szCs w:val="22"/>
              </w:rPr>
            </w:pPr>
            <w:r>
              <w:rPr>
                <w:rFonts w:ascii="Arial" w:hAnsi="Arial" w:cs="Arial"/>
                <w:sz w:val="22"/>
                <w:szCs w:val="22"/>
              </w:rPr>
              <w:t>Teléfono</w:t>
            </w:r>
          </w:p>
        </w:tc>
        <w:tc>
          <w:tcPr>
            <w:tcW w:w="0" w:type="auto"/>
          </w:tcPr>
          <w:p w14:paraId="2BFFA086" w14:textId="20EEFFE8" w:rsidR="002F1A79" w:rsidRPr="002F1A79" w:rsidRDefault="006E2CC6" w:rsidP="00C413AE">
            <w:pPr>
              <w:jc w:val="right"/>
              <w:rPr>
                <w:rFonts w:ascii="Arial" w:hAnsi="Arial" w:cs="Arial"/>
                <w:sz w:val="22"/>
                <w:szCs w:val="22"/>
              </w:rPr>
            </w:pPr>
            <w:r w:rsidRPr="006E2CC6">
              <w:rPr>
                <w:rFonts w:ascii="Arial" w:hAnsi="Arial" w:cs="Arial"/>
                <w:sz w:val="22"/>
                <w:szCs w:val="22"/>
              </w:rPr>
              <w:t>232425307</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79113C83" w:rsidR="002F1A79" w:rsidRPr="002F1A79" w:rsidRDefault="006E2CC6" w:rsidP="00C413AE">
            <w:pPr>
              <w:jc w:val="right"/>
              <w:rPr>
                <w:rFonts w:ascii="Arial" w:hAnsi="Arial" w:cs="Arial"/>
                <w:sz w:val="22"/>
                <w:szCs w:val="22"/>
              </w:rPr>
            </w:pPr>
            <w:r w:rsidRPr="006E2CC6">
              <w:rPr>
                <w:rFonts w:ascii="Arial" w:hAnsi="Arial" w:cs="Arial"/>
                <w:sz w:val="22"/>
                <w:szCs w:val="22"/>
              </w:rPr>
              <w:t>Bernardo O’Higgins 480, Temuco</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7325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73258"/>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73259"/>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73260"/>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73261"/>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73262"/>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73263"/>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73264"/>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73265"/>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73266"/>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7326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73268"/>
      <w:r w:rsidRPr="008C4570">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73269"/>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6B7E3F93"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6E2CC6">
        <w:rPr>
          <w:rFonts w:ascii="Arial" w:eastAsia="gobCL" w:hAnsi="Arial" w:cs="Arial"/>
          <w:b/>
        </w:rPr>
        <w:t>DE LA ARAUCANIA</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73270"/>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6E2CC6">
              <w:rPr>
                <w:rFonts w:ascii="Arial" w:eastAsia="gobCL" w:hAnsi="Arial" w:cs="Arial"/>
                <w:sz w:val="20"/>
                <w:szCs w:val="20"/>
              </w:rPr>
              <w:t xml:space="preserve">adjudicado, cuyo monto debe corresponder al </w:t>
            </w:r>
            <w:r w:rsidR="00050ED6" w:rsidRPr="006E2CC6">
              <w:rPr>
                <w:rFonts w:ascii="Arial" w:eastAsia="gobCL" w:hAnsi="Arial" w:cs="Arial"/>
                <w:sz w:val="20"/>
                <w:szCs w:val="20"/>
              </w:rPr>
              <w:t>10</w:t>
            </w:r>
            <w:r w:rsidRPr="006E2CC6">
              <w:rPr>
                <w:rFonts w:ascii="Arial" w:eastAsia="gobCL" w:hAnsi="Arial" w:cs="Arial"/>
                <w:sz w:val="20"/>
                <w:szCs w:val="20"/>
              </w:rPr>
              <w:t>%</w:t>
            </w:r>
            <w:r w:rsidR="00CA36C4" w:rsidRPr="006E2CC6">
              <w:rPr>
                <w:rFonts w:ascii="Arial" w:eastAsia="gobCL" w:hAnsi="Arial" w:cs="Arial"/>
                <w:sz w:val="20"/>
                <w:szCs w:val="20"/>
              </w:rPr>
              <w:t xml:space="preserve"> </w:t>
            </w:r>
            <w:r w:rsidRPr="006E2CC6">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73271"/>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73272"/>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73273"/>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73274"/>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73275"/>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73276"/>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73277"/>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73278"/>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73279"/>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442C7C40" w:rsidR="00C05310" w:rsidRPr="006E2CC6"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A789D3" w14:textId="77777777" w:rsidR="006E2CC6" w:rsidRPr="008C4570" w:rsidRDefault="006E2CC6" w:rsidP="006E2CC6">
      <w:pPr>
        <w:pBdr>
          <w:top w:val="nil"/>
          <w:left w:val="nil"/>
          <w:bottom w:val="nil"/>
          <w:right w:val="nil"/>
          <w:between w:val="nil"/>
        </w:pBdr>
        <w:spacing w:after="0" w:line="240" w:lineRule="auto"/>
        <w:ind w:left="851"/>
        <w:rPr>
          <w:rFonts w:ascii="Arial" w:eastAsia="gobCL" w:hAnsi="Arial" w:cs="Arial"/>
          <w:color w:val="000000"/>
        </w:rPr>
      </w:pP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243"/>
        <w:gridCol w:w="1207"/>
        <w:gridCol w:w="1671"/>
        <w:gridCol w:w="1559"/>
      </w:tblGrid>
      <w:tr w:rsidR="006E2CC6" w14:paraId="747BC686" w14:textId="77777777" w:rsidTr="00C413AE">
        <w:trPr>
          <w:trHeight w:val="974"/>
          <w:jc w:val="center"/>
        </w:trPr>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C0F01" w14:textId="77777777" w:rsidR="006E2CC6" w:rsidRDefault="006E2CC6" w:rsidP="00C413AE">
            <w:pPr>
              <w:jc w:val="center"/>
              <w:rPr>
                <w:rFonts w:ascii="gobCL" w:eastAsia="gobCL" w:hAnsi="gobCL" w:cs="gobCL"/>
                <w:b/>
              </w:rPr>
            </w:pPr>
            <w:r>
              <w:rPr>
                <w:rFonts w:ascii="gobCL" w:eastAsia="gobCL" w:hAnsi="gobCL" w:cs="gobCL"/>
                <w:b/>
              </w:rPr>
              <w:t xml:space="preserve">Criterio 1: </w:t>
            </w:r>
          </w:p>
          <w:p w14:paraId="58187AFE" w14:textId="3C63E12A" w:rsidR="006E2CC6" w:rsidRDefault="006E2CC6" w:rsidP="00C413AE">
            <w:pPr>
              <w:jc w:val="both"/>
              <w:rPr>
                <w:rFonts w:ascii="gobCL" w:eastAsia="gobCL" w:hAnsi="gobCL" w:cs="gobCL"/>
                <w:b/>
              </w:rPr>
            </w:pPr>
            <w:r w:rsidRPr="00E80015">
              <w:rPr>
                <w:rFonts w:ascii="gobCL" w:eastAsia="gobCL" w:hAnsi="gobCL" w:cs="gobCL"/>
              </w:rPr>
              <w:t>Domicilio Comercial del Almacén en sector Urbano</w:t>
            </w:r>
          </w:p>
        </w:tc>
        <w:tc>
          <w:tcPr>
            <w:tcW w:w="1207"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3E33561D" w14:textId="77777777" w:rsidR="006E2CC6" w:rsidRDefault="006E2CC6" w:rsidP="00C413AE">
            <w:pPr>
              <w:jc w:val="center"/>
              <w:rPr>
                <w:rFonts w:ascii="gobCL" w:eastAsia="gobCL" w:hAnsi="gobCL" w:cs="gobCL"/>
                <w:b/>
              </w:rPr>
            </w:pPr>
            <w:r>
              <w:rPr>
                <w:rFonts w:ascii="gobCL" w:eastAsia="gobCL" w:hAnsi="gobCL" w:cs="gobC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27B6955" w14:textId="77777777" w:rsidR="006E2CC6" w:rsidRDefault="006E2CC6" w:rsidP="00C413AE">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384B0B4" w14:textId="77777777" w:rsidR="006E2CC6" w:rsidRDefault="006E2CC6" w:rsidP="00C413AE">
            <w:pPr>
              <w:jc w:val="center"/>
              <w:rPr>
                <w:rFonts w:ascii="gobCL" w:eastAsia="gobCL" w:hAnsi="gobCL" w:cs="gobCL"/>
                <w:b/>
              </w:rPr>
            </w:pPr>
            <w:r>
              <w:rPr>
                <w:rFonts w:ascii="gobCL" w:eastAsia="gobCL" w:hAnsi="gobCL" w:cs="gobCL"/>
                <w:b/>
              </w:rPr>
              <w:t>Ponderación</w:t>
            </w:r>
          </w:p>
        </w:tc>
      </w:tr>
      <w:tr w:rsidR="006E2CC6" w14:paraId="44133D50" w14:textId="77777777" w:rsidTr="00C413AE">
        <w:trPr>
          <w:trHeight w:val="2602"/>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B7BFA6A" w14:textId="77777777" w:rsidR="006E2CC6" w:rsidRDefault="006E2CC6" w:rsidP="00C413AE">
            <w:pPr>
              <w:jc w:val="both"/>
              <w:rPr>
                <w:rFonts w:ascii="gobCL" w:hAnsi="gobCL"/>
                <w:bCs/>
                <w:sz w:val="20"/>
              </w:rPr>
            </w:pPr>
            <w:r w:rsidRPr="002203C1">
              <w:rPr>
                <w:rFonts w:ascii="gobCL" w:hAnsi="gobCL"/>
                <w:bCs/>
                <w:sz w:val="20"/>
              </w:rPr>
              <w:t xml:space="preserve">Almacén postulante, registra domicilio comercial en al área urbana de su comuna. </w:t>
            </w:r>
          </w:p>
          <w:p w14:paraId="6E429889" w14:textId="77777777" w:rsidR="006E2CC6" w:rsidRDefault="006E2CC6" w:rsidP="00C413AE">
            <w:pPr>
              <w:jc w:val="both"/>
              <w:rPr>
                <w:rFonts w:ascii="gobCL" w:eastAsia="gobCL" w:hAnsi="gobCL" w:cs="gobCL"/>
                <w:b/>
              </w:rPr>
            </w:pPr>
            <w:r w:rsidRPr="002203C1">
              <w:rPr>
                <w:rFonts w:ascii="gobCL" w:hAnsi="gobCL"/>
                <w:bCs/>
                <w:sz w:val="20"/>
              </w:rPr>
              <w:t>Se define como urbano a todo conjunto de viviendas</w:t>
            </w:r>
            <w:r>
              <w:rPr>
                <w:rFonts w:ascii="gobCL" w:hAnsi="gobCL"/>
                <w:bCs/>
                <w:sz w:val="20"/>
              </w:rPr>
              <w:t xml:space="preserve"> concentradas, con más de 2.000 </w:t>
            </w:r>
            <w:r w:rsidRPr="002203C1">
              <w:rPr>
                <w:rFonts w:ascii="gobCL" w:hAnsi="gobCL"/>
                <w:bCs/>
                <w:sz w:val="20"/>
              </w:rPr>
              <w:t>habitantes. Excepcionalmente, se consideran urbanos los centros que cumplen funciones de turismo y recreación con más de 250 viviendas concentradas, aunque no alcancen el requisito de población (INE, 2005).</w:t>
            </w:r>
          </w:p>
        </w:tc>
        <w:tc>
          <w:tcPr>
            <w:tcW w:w="12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E2AC6B" w14:textId="77777777" w:rsidR="006E2CC6" w:rsidRDefault="006E2CC6" w:rsidP="00C413AE">
            <w:pPr>
              <w:jc w:val="center"/>
              <w:rPr>
                <w:rFonts w:ascii="gobCL" w:eastAsia="gobCL" w:hAnsi="gobCL" w:cs="gobCL"/>
                <w:b/>
              </w:rPr>
            </w:pPr>
          </w:p>
          <w:p w14:paraId="11FD4709" w14:textId="77777777" w:rsidR="006E2CC6" w:rsidRDefault="006E2CC6" w:rsidP="00C413AE">
            <w:pPr>
              <w:jc w:val="center"/>
              <w:rPr>
                <w:rFonts w:ascii="gobCL" w:eastAsia="gobCL" w:hAnsi="gobCL" w:cs="gobCL"/>
                <w:b/>
              </w:rPr>
            </w:pPr>
          </w:p>
          <w:p w14:paraId="3C9AE6A8" w14:textId="77777777" w:rsidR="006E2CC6" w:rsidRDefault="006E2CC6" w:rsidP="00C413AE">
            <w:pPr>
              <w:jc w:val="center"/>
              <w:rPr>
                <w:rFonts w:ascii="gobCL" w:eastAsia="gobCL" w:hAnsi="gobCL" w:cs="gobCL"/>
                <w:b/>
              </w:rPr>
            </w:pPr>
            <w:r>
              <w:rPr>
                <w:rFonts w:ascii="gobCL" w:eastAsia="gobCL" w:hAnsi="gobCL" w:cs="gobCL"/>
                <w:b/>
              </w:rPr>
              <w:t>7</w:t>
            </w:r>
          </w:p>
        </w:tc>
        <w:tc>
          <w:tcPr>
            <w:tcW w:w="1671" w:type="dxa"/>
            <w:vMerge w:val="restart"/>
            <w:tcBorders>
              <w:top w:val="single" w:sz="8" w:space="0" w:color="000000"/>
              <w:left w:val="single" w:sz="4" w:space="0" w:color="auto"/>
              <w:right w:val="single" w:sz="8" w:space="0" w:color="000000"/>
            </w:tcBorders>
            <w:shd w:val="clear" w:color="auto" w:fill="FFFFFF"/>
            <w:tcMar>
              <w:top w:w="0" w:type="dxa"/>
              <w:left w:w="108" w:type="dxa"/>
              <w:bottom w:w="0" w:type="dxa"/>
              <w:right w:w="108" w:type="dxa"/>
            </w:tcMar>
          </w:tcPr>
          <w:p w14:paraId="1D8F9253" w14:textId="77777777" w:rsidR="006E2CC6" w:rsidRDefault="006E2CC6" w:rsidP="00C413AE">
            <w:pPr>
              <w:jc w:val="center"/>
              <w:rPr>
                <w:rFonts w:ascii="gobCL" w:hAnsi="gobCL"/>
                <w:bCs/>
                <w:sz w:val="20"/>
              </w:rPr>
            </w:pPr>
          </w:p>
          <w:p w14:paraId="27ED4515" w14:textId="77777777" w:rsidR="006E2CC6" w:rsidRDefault="006E2CC6" w:rsidP="00C413AE">
            <w:pPr>
              <w:jc w:val="center"/>
              <w:rPr>
                <w:rFonts w:ascii="gobCL" w:hAnsi="gobCL"/>
                <w:bCs/>
                <w:sz w:val="20"/>
              </w:rPr>
            </w:pPr>
          </w:p>
          <w:p w14:paraId="548002AE" w14:textId="77777777" w:rsidR="006E2CC6" w:rsidRPr="00E80015" w:rsidRDefault="006E2CC6" w:rsidP="00C413AE">
            <w:pPr>
              <w:jc w:val="center"/>
              <w:rPr>
                <w:rFonts w:ascii="gobCL" w:hAnsi="gobCL"/>
                <w:bCs/>
                <w:sz w:val="20"/>
              </w:rPr>
            </w:pPr>
            <w:r w:rsidRPr="00E80015">
              <w:rPr>
                <w:rFonts w:ascii="gobCL" w:hAnsi="gobCL"/>
                <w:bCs/>
                <w:sz w:val="20"/>
              </w:rPr>
              <w:t>Requisito validado por Sercotec, a través de la información pro</w:t>
            </w:r>
            <w:r>
              <w:rPr>
                <w:rFonts w:ascii="gobCL" w:hAnsi="gobCL"/>
                <w:bCs/>
                <w:sz w:val="20"/>
              </w:rPr>
              <w:t>vista por AOS en visita técnica de evaluación</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DF3B510" w14:textId="77777777" w:rsidR="006E2CC6" w:rsidRDefault="006E2CC6" w:rsidP="00C413AE">
            <w:pPr>
              <w:jc w:val="center"/>
              <w:rPr>
                <w:rFonts w:ascii="gobCL" w:eastAsia="gobCL" w:hAnsi="gobCL" w:cs="gobCL"/>
                <w:b/>
              </w:rPr>
            </w:pPr>
          </w:p>
          <w:p w14:paraId="1975F737" w14:textId="77777777" w:rsidR="006E2CC6" w:rsidRDefault="006E2CC6" w:rsidP="00C413AE">
            <w:pPr>
              <w:jc w:val="center"/>
              <w:rPr>
                <w:rFonts w:ascii="gobCL" w:eastAsia="gobCL" w:hAnsi="gobCL" w:cs="gobCL"/>
                <w:b/>
              </w:rPr>
            </w:pPr>
          </w:p>
          <w:p w14:paraId="5D99A8A2" w14:textId="77777777" w:rsidR="006E2CC6" w:rsidRDefault="006E2CC6" w:rsidP="00C413AE">
            <w:pPr>
              <w:jc w:val="center"/>
              <w:rPr>
                <w:rFonts w:ascii="gobCL" w:eastAsia="gobCL" w:hAnsi="gobCL" w:cs="gobCL"/>
                <w:b/>
              </w:rPr>
            </w:pPr>
          </w:p>
          <w:p w14:paraId="6AE73CC5" w14:textId="77777777" w:rsidR="006E2CC6" w:rsidRDefault="006E2CC6" w:rsidP="00C413AE">
            <w:pPr>
              <w:jc w:val="center"/>
              <w:rPr>
                <w:rFonts w:ascii="gobCL" w:eastAsia="gobCL" w:hAnsi="gobCL" w:cs="gobCL"/>
                <w:b/>
              </w:rPr>
            </w:pPr>
            <w:r>
              <w:rPr>
                <w:rFonts w:ascii="gobCL" w:eastAsia="gobCL" w:hAnsi="gobCL" w:cs="gobCL"/>
                <w:b/>
              </w:rPr>
              <w:t>25%</w:t>
            </w:r>
          </w:p>
        </w:tc>
      </w:tr>
      <w:tr w:rsidR="006E2CC6" w14:paraId="0465A9AB" w14:textId="77777777" w:rsidTr="00C413AE">
        <w:trPr>
          <w:trHeight w:val="785"/>
          <w:jc w:val="center"/>
        </w:trPr>
        <w:tc>
          <w:tcPr>
            <w:tcW w:w="424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12407B2" w14:textId="77777777" w:rsidR="006E2CC6" w:rsidRPr="002203C1" w:rsidRDefault="006E2CC6" w:rsidP="00C413AE">
            <w:pPr>
              <w:jc w:val="both"/>
              <w:rPr>
                <w:rFonts w:ascii="gobCL" w:hAnsi="gobCL"/>
                <w:bCs/>
                <w:sz w:val="20"/>
              </w:rPr>
            </w:pPr>
            <w:r w:rsidRPr="00E80015">
              <w:rPr>
                <w:rFonts w:ascii="gobCL" w:hAnsi="gobCL"/>
                <w:bCs/>
                <w:sz w:val="20"/>
              </w:rPr>
              <w:t>Almacén postulante, NO registra domicilio comercial en el al área urbana de su comuna.</w:t>
            </w:r>
          </w:p>
        </w:tc>
        <w:tc>
          <w:tcPr>
            <w:tcW w:w="12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480524" w14:textId="77777777" w:rsidR="006E2CC6" w:rsidRDefault="006E2CC6" w:rsidP="00C413AE">
            <w:pPr>
              <w:jc w:val="center"/>
              <w:rPr>
                <w:rFonts w:ascii="gobCL" w:eastAsia="gobCL" w:hAnsi="gobCL" w:cs="gobCL"/>
                <w:b/>
              </w:rPr>
            </w:pPr>
            <w:r>
              <w:rPr>
                <w:rFonts w:ascii="gobCL" w:eastAsia="gobCL" w:hAnsi="gobCL" w:cs="gobCL"/>
                <w:b/>
              </w:rPr>
              <w:t>1</w:t>
            </w:r>
          </w:p>
        </w:tc>
        <w:tc>
          <w:tcPr>
            <w:tcW w:w="1671" w:type="dxa"/>
            <w:vMerge/>
            <w:tcBorders>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3BFA08E0" w14:textId="77777777" w:rsidR="006E2CC6" w:rsidRDefault="006E2CC6" w:rsidP="00C413AE">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2334834" w14:textId="77777777" w:rsidR="006E2CC6" w:rsidRDefault="006E2CC6" w:rsidP="00C413AE">
            <w:pPr>
              <w:jc w:val="center"/>
              <w:rPr>
                <w:rFonts w:ascii="gobCL" w:eastAsia="gobCL" w:hAnsi="gobCL" w:cs="gobCL"/>
                <w:b/>
              </w:rPr>
            </w:pPr>
          </w:p>
        </w:tc>
      </w:tr>
      <w:tr w:rsidR="006E2CC6" w14:paraId="1BF584D1" w14:textId="77777777" w:rsidTr="00C413AE">
        <w:trPr>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2AB022"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w:t>
            </w:r>
          </w:p>
          <w:p w14:paraId="3FB3DCDD"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color w:val="000000"/>
              </w:rPr>
            </w:pPr>
            <w:r w:rsidRPr="00E80015">
              <w:rPr>
                <w:rFonts w:ascii="gobCL" w:eastAsia="gobCL" w:hAnsi="gobCL" w:cs="gobCL"/>
                <w:color w:val="000000"/>
              </w:rPr>
              <w:t>Incorporación de acc</w:t>
            </w:r>
            <w:r>
              <w:rPr>
                <w:rFonts w:ascii="gobCL" w:eastAsia="gobCL" w:hAnsi="gobCL" w:cs="gobCL"/>
                <w:color w:val="000000"/>
              </w:rPr>
              <w:t xml:space="preserve">iones de Eficiencia Energética </w:t>
            </w:r>
          </w:p>
          <w:p w14:paraId="722CD0A4"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b/>
                <w:color w:val="000000"/>
              </w:rPr>
            </w:pPr>
          </w:p>
        </w:tc>
        <w:tc>
          <w:tcPr>
            <w:tcW w:w="120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D12EC"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DBBE93"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2AFB3F" w14:textId="77777777" w:rsidR="006E2CC6" w:rsidRDefault="006E2CC6"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6E2CC6" w14:paraId="77542244" w14:textId="77777777" w:rsidTr="00C413AE">
        <w:trPr>
          <w:trHeight w:val="1163"/>
          <w:jc w:val="center"/>
        </w:trPr>
        <w:tc>
          <w:tcPr>
            <w:tcW w:w="4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5131A" w14:textId="77777777" w:rsidR="006E2CC6" w:rsidRPr="00B212CA" w:rsidRDefault="006E2CC6" w:rsidP="00C413AE">
            <w:pPr>
              <w:jc w:val="both"/>
              <w:rPr>
                <w:rFonts w:ascii="gobCL" w:eastAsia="gobCL" w:hAnsi="gobCL" w:cs="gobCL"/>
                <w:sz w:val="20"/>
                <w:szCs w:val="20"/>
              </w:rPr>
            </w:pPr>
            <w:r w:rsidRPr="00B212CA">
              <w:rPr>
                <w:rFonts w:ascii="gobCL" w:eastAsia="gobCL" w:hAnsi="gobCL" w:cs="gobCL"/>
                <w:sz w:val="20"/>
                <w:szCs w:val="20"/>
              </w:rPr>
              <w:t>Plan presentado incorpora a lo menos 2 acciones que disminuyan costos energéticos</w:t>
            </w:r>
            <w:r>
              <w:rPr>
                <w:rFonts w:ascii="gobCL" w:eastAsia="gobCL" w:hAnsi="gobCL" w:cs="gobCL"/>
                <w:sz w:val="20"/>
                <w:szCs w:val="20"/>
              </w:rPr>
              <w:t xml:space="preserve"> y/o</w:t>
            </w:r>
            <w:r w:rsidRPr="00B212CA">
              <w:rPr>
                <w:rFonts w:ascii="gobCL" w:eastAsia="gobCL" w:hAnsi="gobCL" w:cs="gobCL"/>
                <w:sz w:val="20"/>
                <w:szCs w:val="20"/>
              </w:rPr>
              <w:t xml:space="preserve"> acciones para la implementación de componentes que mejoren la eficiencia energética en las instalaciones</w:t>
            </w:r>
          </w:p>
        </w:tc>
        <w:tc>
          <w:tcPr>
            <w:tcW w:w="1207" w:type="dxa"/>
            <w:tcBorders>
              <w:top w:val="single" w:sz="4" w:space="0" w:color="000000"/>
              <w:left w:val="single" w:sz="4" w:space="0" w:color="000000"/>
              <w:bottom w:val="single" w:sz="4" w:space="0" w:color="auto"/>
              <w:right w:val="single" w:sz="4" w:space="0" w:color="000000"/>
            </w:tcBorders>
            <w:shd w:val="clear" w:color="auto" w:fill="FFFFFF"/>
          </w:tcPr>
          <w:p w14:paraId="38EAA9BB" w14:textId="77777777" w:rsidR="006E2CC6" w:rsidRPr="00B212CA" w:rsidRDefault="006E2CC6" w:rsidP="00C413AE">
            <w:pPr>
              <w:jc w:val="both"/>
              <w:rPr>
                <w:rFonts w:ascii="gobCL" w:eastAsia="gobCL" w:hAnsi="gobCL" w:cs="gobCL"/>
                <w:b/>
                <w:sz w:val="20"/>
                <w:szCs w:val="20"/>
              </w:rPr>
            </w:pPr>
          </w:p>
          <w:p w14:paraId="1D7E4A3F" w14:textId="77777777" w:rsidR="006E2CC6" w:rsidRPr="00B212CA" w:rsidRDefault="006E2CC6" w:rsidP="00C413AE">
            <w:pPr>
              <w:jc w:val="center"/>
              <w:rPr>
                <w:rFonts w:ascii="gobCL" w:eastAsia="gobCL" w:hAnsi="gobCL" w:cs="gobCL"/>
                <w:sz w:val="20"/>
                <w:szCs w:val="20"/>
              </w:rPr>
            </w:pPr>
            <w:r w:rsidRPr="00B212CA">
              <w:rPr>
                <w:rFonts w:ascii="gobCL" w:eastAsia="gobCL" w:hAnsi="gobCL" w:cs="gobCL"/>
                <w:sz w:val="20"/>
                <w:szCs w:val="20"/>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F3082A" w14:textId="77777777" w:rsidR="006E2CC6" w:rsidRDefault="006E2CC6" w:rsidP="00C413AE">
            <w:pPr>
              <w:jc w:val="center"/>
              <w:rPr>
                <w:rFonts w:ascii="gobCL" w:eastAsia="gobCL" w:hAnsi="gobCL" w:cs="gobCL"/>
                <w:sz w:val="20"/>
                <w:szCs w:val="20"/>
              </w:rPr>
            </w:pPr>
            <w:r>
              <w:rPr>
                <w:rFonts w:ascii="gobCL" w:eastAsia="gobCL" w:hAnsi="gobCL" w:cs="gobCL"/>
                <w:sz w:val="20"/>
                <w:szCs w:val="20"/>
              </w:rPr>
              <w:t>Requisito validad por Sercotec, a través de la información provista por el AOS en la revisión del Plan presentado y en Visita Técnica de evaluación</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68CEC5A" w14:textId="77777777" w:rsidR="006E2CC6" w:rsidRDefault="006E2CC6" w:rsidP="00C413AE">
            <w:pPr>
              <w:jc w:val="center"/>
              <w:rPr>
                <w:rFonts w:ascii="gobCL" w:eastAsia="gobCL" w:hAnsi="gobCL" w:cs="gobCL"/>
                <w:sz w:val="20"/>
                <w:szCs w:val="20"/>
              </w:rPr>
            </w:pPr>
            <w:r>
              <w:rPr>
                <w:rFonts w:ascii="gobCL" w:eastAsia="gobCL" w:hAnsi="gobCL" w:cs="gobCL"/>
                <w:sz w:val="20"/>
                <w:szCs w:val="20"/>
              </w:rPr>
              <w:t>15%</w:t>
            </w:r>
          </w:p>
        </w:tc>
      </w:tr>
      <w:tr w:rsidR="006E2CC6" w14:paraId="48150614" w14:textId="77777777" w:rsidTr="00C413AE">
        <w:trPr>
          <w:trHeight w:val="578"/>
          <w:jc w:val="center"/>
        </w:trPr>
        <w:tc>
          <w:tcPr>
            <w:tcW w:w="42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B38848" w14:textId="77777777" w:rsidR="006E2CC6" w:rsidRPr="00B212CA" w:rsidRDefault="006E2CC6" w:rsidP="00C413AE">
            <w:pPr>
              <w:jc w:val="both"/>
              <w:rPr>
                <w:rFonts w:ascii="gobCL" w:eastAsia="gobCL" w:hAnsi="gobCL" w:cs="gobCL"/>
                <w:sz w:val="20"/>
                <w:szCs w:val="20"/>
                <w:highlight w:val="yellow"/>
              </w:rPr>
            </w:pPr>
            <w:r w:rsidRPr="00B212CA">
              <w:rPr>
                <w:rFonts w:ascii="gobCL" w:eastAsia="gobCL" w:hAnsi="gobCL" w:cs="gobCL"/>
                <w:sz w:val="20"/>
                <w:szCs w:val="20"/>
              </w:rPr>
              <w:t xml:space="preserve">Plan presentado incorpora </w:t>
            </w:r>
            <w:r>
              <w:rPr>
                <w:rFonts w:ascii="gobCL" w:eastAsia="gobCL" w:hAnsi="gobCL" w:cs="gobCL"/>
                <w:sz w:val="20"/>
                <w:szCs w:val="20"/>
              </w:rPr>
              <w:t>1</w:t>
            </w:r>
            <w:r w:rsidRPr="00B212CA">
              <w:rPr>
                <w:rFonts w:ascii="gobCL" w:eastAsia="gobCL" w:hAnsi="gobCL" w:cs="gobCL"/>
                <w:sz w:val="20"/>
                <w:szCs w:val="20"/>
              </w:rPr>
              <w:t xml:space="preserve"> acción que disminuy</w:t>
            </w:r>
            <w:r>
              <w:rPr>
                <w:rFonts w:ascii="gobCL" w:eastAsia="gobCL" w:hAnsi="gobCL" w:cs="gobCL"/>
                <w:sz w:val="20"/>
                <w:szCs w:val="20"/>
              </w:rPr>
              <w:t>e</w:t>
            </w:r>
            <w:r w:rsidRPr="00B212CA">
              <w:rPr>
                <w:rFonts w:ascii="gobCL" w:eastAsia="gobCL" w:hAnsi="gobCL" w:cs="gobCL"/>
                <w:sz w:val="20"/>
                <w:szCs w:val="20"/>
              </w:rPr>
              <w:t xml:space="preserve"> costos energéticos y/o acción para la implementación de componentes que mejoren la eficiencia energética en las instalaciones</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14:paraId="0F801C7C" w14:textId="77777777" w:rsidR="006E2CC6" w:rsidRPr="00B212CA" w:rsidRDefault="006E2CC6" w:rsidP="00C413AE">
            <w:pPr>
              <w:jc w:val="center"/>
              <w:rPr>
                <w:rFonts w:ascii="gobCL" w:eastAsia="gobCL" w:hAnsi="gobCL" w:cs="gobCL"/>
                <w:b/>
                <w:sz w:val="20"/>
                <w:szCs w:val="20"/>
              </w:rPr>
            </w:pPr>
            <w:r w:rsidRPr="00B212CA">
              <w:rPr>
                <w:rFonts w:ascii="gobCL" w:eastAsia="gobCL" w:hAnsi="gobCL" w:cs="gobCL"/>
                <w:b/>
                <w:sz w:val="20"/>
                <w:szCs w:val="20"/>
              </w:rPr>
              <w:t>5</w:t>
            </w:r>
          </w:p>
        </w:tc>
        <w:tc>
          <w:tcPr>
            <w:tcW w:w="1671" w:type="dxa"/>
            <w:vMerge/>
            <w:tcBorders>
              <w:left w:val="single" w:sz="4" w:space="0" w:color="auto"/>
              <w:right w:val="single" w:sz="4" w:space="0" w:color="000000"/>
            </w:tcBorders>
            <w:shd w:val="clear" w:color="auto" w:fill="FFFFFF"/>
            <w:tcMar>
              <w:top w:w="0" w:type="dxa"/>
              <w:left w:w="108" w:type="dxa"/>
              <w:bottom w:w="0" w:type="dxa"/>
              <w:right w:w="108" w:type="dxa"/>
            </w:tcMar>
          </w:tcPr>
          <w:p w14:paraId="40D16AEF" w14:textId="77777777" w:rsidR="006E2CC6" w:rsidRDefault="006E2CC6" w:rsidP="00C413AE">
            <w:pPr>
              <w:rPr>
                <w:rFonts w:ascii="gobCL" w:eastAsia="gobCL" w:hAnsi="gobCL" w:cs="gobCL"/>
                <w:sz w:val="20"/>
                <w:szCs w:val="20"/>
              </w:rPr>
            </w:pP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D001AE8" w14:textId="77777777" w:rsidR="006E2CC6" w:rsidRDefault="006E2CC6" w:rsidP="00C413AE">
            <w:pPr>
              <w:jc w:val="center"/>
              <w:rPr>
                <w:rFonts w:ascii="gobCL" w:eastAsia="gobCL" w:hAnsi="gobCL" w:cs="gobCL"/>
                <w:sz w:val="20"/>
                <w:szCs w:val="20"/>
              </w:rPr>
            </w:pPr>
          </w:p>
        </w:tc>
      </w:tr>
      <w:tr w:rsidR="006E2CC6" w14:paraId="7F3DA03D" w14:textId="77777777" w:rsidTr="00C413AE">
        <w:trPr>
          <w:trHeight w:val="577"/>
          <w:jc w:val="center"/>
        </w:trPr>
        <w:tc>
          <w:tcPr>
            <w:tcW w:w="42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9971843" w14:textId="77777777" w:rsidR="006E2CC6" w:rsidRPr="00B212CA" w:rsidRDefault="006E2CC6" w:rsidP="00C413AE">
            <w:pPr>
              <w:jc w:val="both"/>
              <w:rPr>
                <w:rFonts w:ascii="gobCL" w:eastAsia="gobCL" w:hAnsi="gobCL" w:cs="gobCL"/>
                <w:sz w:val="20"/>
                <w:szCs w:val="20"/>
                <w:highlight w:val="yellow"/>
              </w:rPr>
            </w:pPr>
            <w:r w:rsidRPr="00B212CA">
              <w:rPr>
                <w:rFonts w:ascii="gobCL" w:eastAsia="gobCL" w:hAnsi="gobCL" w:cs="gobCL"/>
                <w:sz w:val="20"/>
                <w:szCs w:val="20"/>
              </w:rPr>
              <w:t xml:space="preserve">Plan Presentado, no incorpora acciones </w:t>
            </w:r>
            <w:r>
              <w:rPr>
                <w:rFonts w:ascii="gobCL" w:eastAsia="gobCL" w:hAnsi="gobCL" w:cs="gobCL"/>
                <w:sz w:val="20"/>
                <w:szCs w:val="20"/>
              </w:rPr>
              <w:t>de eficiencia energética</w:t>
            </w:r>
          </w:p>
        </w:tc>
        <w:tc>
          <w:tcPr>
            <w:tcW w:w="1207" w:type="dxa"/>
            <w:tcBorders>
              <w:top w:val="single" w:sz="4" w:space="0" w:color="auto"/>
              <w:left w:val="single" w:sz="4" w:space="0" w:color="auto"/>
              <w:bottom w:val="single" w:sz="4" w:space="0" w:color="auto"/>
              <w:right w:val="single" w:sz="4" w:space="0" w:color="auto"/>
            </w:tcBorders>
            <w:shd w:val="clear" w:color="auto" w:fill="FFFFFF"/>
          </w:tcPr>
          <w:p w14:paraId="648AAADD" w14:textId="77777777" w:rsidR="006E2CC6" w:rsidRPr="00B212CA" w:rsidRDefault="006E2CC6" w:rsidP="00C413AE">
            <w:pPr>
              <w:jc w:val="center"/>
              <w:rPr>
                <w:rFonts w:ascii="gobCL" w:eastAsia="gobCL" w:hAnsi="gobCL" w:cs="gobCL"/>
                <w:sz w:val="20"/>
                <w:szCs w:val="20"/>
              </w:rPr>
            </w:pPr>
            <w:r w:rsidRPr="00B212CA">
              <w:rPr>
                <w:rFonts w:ascii="gobCL" w:eastAsia="gobCL" w:hAnsi="gobCL" w:cs="gobCL"/>
                <w:sz w:val="20"/>
                <w:szCs w:val="20"/>
              </w:rPr>
              <w:t>1</w:t>
            </w:r>
          </w:p>
        </w:tc>
        <w:tc>
          <w:tcPr>
            <w:tcW w:w="167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6C9C909" w14:textId="77777777" w:rsidR="006E2CC6" w:rsidRDefault="006E2CC6" w:rsidP="00C413AE">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32358F" w14:textId="77777777" w:rsidR="006E2CC6" w:rsidRDefault="006E2CC6" w:rsidP="00C413AE">
            <w:pPr>
              <w:jc w:val="center"/>
              <w:rPr>
                <w:rFonts w:ascii="gobCL" w:eastAsia="gobCL" w:hAnsi="gobCL" w:cs="gobCL"/>
                <w:sz w:val="20"/>
                <w:szCs w:val="20"/>
              </w:rPr>
            </w:pPr>
          </w:p>
        </w:tc>
      </w:tr>
    </w:tbl>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33CDFE29" w:rsidR="00C05310" w:rsidRPr="008C4570" w:rsidRDefault="006E2CC6" w:rsidP="0087229B">
      <w:pPr>
        <w:pStyle w:val="Ttulo1"/>
        <w:jc w:val="center"/>
        <w:rPr>
          <w:rFonts w:ascii="Arial" w:hAnsi="Arial" w:cs="Arial"/>
          <w:sz w:val="22"/>
        </w:rPr>
      </w:pPr>
      <w:bookmarkStart w:id="176" w:name="_Toc132473280"/>
      <w:r>
        <w:rPr>
          <w:rFonts w:ascii="Arial" w:hAnsi="Arial" w:cs="Arial"/>
          <w:sz w:val="22"/>
        </w:rPr>
        <w:t xml:space="preserve">ANEXO </w:t>
      </w:r>
      <w:r w:rsidR="008D3FED" w:rsidRPr="008C4570">
        <w:rPr>
          <w:rFonts w:ascii="Arial" w:hAnsi="Arial" w:cs="Arial"/>
          <w:sz w:val="22"/>
        </w:rPr>
        <w:t xml:space="preserve">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473281"/>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B139" w14:textId="77777777" w:rsidR="006A1D96" w:rsidRDefault="006A1D96">
      <w:pPr>
        <w:spacing w:after="0" w:line="240" w:lineRule="auto"/>
      </w:pPr>
      <w:r>
        <w:separator/>
      </w:r>
    </w:p>
  </w:endnote>
  <w:endnote w:type="continuationSeparator" w:id="0">
    <w:p w14:paraId="72A72203" w14:textId="77777777" w:rsidR="006A1D96" w:rsidRDefault="006A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9EEBCF1"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F42A8">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9A401" w14:textId="77777777" w:rsidR="006A1D96" w:rsidRDefault="006A1D96">
      <w:pPr>
        <w:spacing w:after="0" w:line="240" w:lineRule="auto"/>
      </w:pPr>
      <w:r>
        <w:separator/>
      </w:r>
    </w:p>
  </w:footnote>
  <w:footnote w:type="continuationSeparator" w:id="0">
    <w:p w14:paraId="23DC002D" w14:textId="77777777" w:rsidR="006A1D96" w:rsidRDefault="006A1D96">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00F2"/>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1D96"/>
    <w:rsid w:val="006A48F7"/>
    <w:rsid w:val="006A70EF"/>
    <w:rsid w:val="006B3ED5"/>
    <w:rsid w:val="006B4CD0"/>
    <w:rsid w:val="006C6DFB"/>
    <w:rsid w:val="006D0D5A"/>
    <w:rsid w:val="006E2CC6"/>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8F42A8"/>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33CF"/>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48"/>
    <w:rsid w:val="00B50AF6"/>
    <w:rsid w:val="00B52871"/>
    <w:rsid w:val="00B53A6C"/>
    <w:rsid w:val="00B6380C"/>
    <w:rsid w:val="00B65A94"/>
    <w:rsid w:val="00B71680"/>
    <w:rsid w:val="00B74B4A"/>
    <w:rsid w:val="00B76737"/>
    <w:rsid w:val="00B81910"/>
    <w:rsid w:val="00B86125"/>
    <w:rsid w:val="00B8749B"/>
    <w:rsid w:val="00B92AD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22A4"/>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5576-8D2C-4BBE-AE25-256D9993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17910</Words>
  <Characters>98506</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2023-04-17T21:42:00Z</cp:lastPrinted>
  <dcterms:created xsi:type="dcterms:W3CDTF">2023-04-15T21:47:00Z</dcterms:created>
  <dcterms:modified xsi:type="dcterms:W3CDTF">2023-04-17T21:42:00Z</dcterms:modified>
</cp:coreProperties>
</file>